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385"/>
      </w:tblGrid>
      <w:tr w:rsidR="003E442E" w:rsidRPr="00A21517" w:rsidTr="003E442E">
        <w:trPr>
          <w:trHeight w:val="70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Job Title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Content Editor / CMS Manager</w:t>
            </w:r>
          </w:p>
        </w:tc>
      </w:tr>
      <w:tr w:rsidR="003E442E" w:rsidRPr="00A21517" w:rsidTr="003E442E">
        <w:trPr>
          <w:trHeight w:val="233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Business Unit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Branded Business Unit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Function/Region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Global Marketing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Location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Richmond/ Dublin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Leader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Global Content Lead – Web and CMS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People Leadership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No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Job Level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2E62C8">
              <w:rPr>
                <w:rFonts w:cs="Calibri"/>
                <w:sz w:val="20"/>
              </w:rPr>
              <w:t>4B</w:t>
            </w:r>
          </w:p>
        </w:tc>
      </w:tr>
      <w:tr w:rsidR="003E442E" w:rsidRPr="00A21517" w:rsidTr="003E442E">
        <w:trPr>
          <w:trHeight w:val="1198"/>
        </w:trPr>
        <w:tc>
          <w:tcPr>
            <w:tcW w:w="9180" w:type="dxa"/>
            <w:gridSpan w:val="2"/>
            <w:shd w:val="clear" w:color="auto" w:fill="auto"/>
          </w:tcPr>
          <w:p w:rsidR="003E442E" w:rsidRPr="00A21517" w:rsidRDefault="003E442E" w:rsidP="007E2A12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21517">
              <w:rPr>
                <w:rFonts w:cs="Calibri"/>
                <w:b/>
                <w:sz w:val="20"/>
              </w:rPr>
              <w:t xml:space="preserve">Role Purpose </w:t>
            </w:r>
          </w:p>
          <w:p w:rsidR="003E442E" w:rsidRPr="00940416" w:rsidRDefault="003E442E" w:rsidP="007E2A1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Work with brand and market teams in order to create and deliver content on our owned web assets, utilising our CMS platform and working with 3</w:t>
            </w:r>
            <w:r w:rsidRPr="00475A5A">
              <w:rPr>
                <w:rFonts w:ascii="Source Sans Pro" w:hAnsi="Source Sans Pro"/>
                <w:sz w:val="20"/>
                <w:szCs w:val="20"/>
                <w:vertAlign w:val="superscript"/>
              </w:rPr>
              <w:t>rd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parties to adjust the platform to the content, campaign, or learnings from user feedback and testing</w:t>
            </w:r>
            <w:r w:rsidR="00F57AE9">
              <w:rPr>
                <w:rFonts w:ascii="Source Sans Pro" w:hAnsi="Source Sans Pro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3E442E" w:rsidRPr="00A21517" w:rsidRDefault="003E442E" w:rsidP="007E2A12">
            <w:pPr>
              <w:jc w:val="both"/>
              <w:rPr>
                <w:rFonts w:ascii="Source Sans Pro" w:eastAsia="Humnst777 BT" w:hAnsi="Source Sans Pro" w:cs="Humnst777 BT"/>
                <w:b/>
                <w:bCs/>
                <w:sz w:val="20"/>
                <w:szCs w:val="20"/>
              </w:rPr>
            </w:pPr>
          </w:p>
        </w:tc>
      </w:tr>
      <w:tr w:rsidR="003E442E" w:rsidRPr="00A21517" w:rsidTr="003E442E">
        <w:trPr>
          <w:trHeight w:val="1375"/>
        </w:trPr>
        <w:tc>
          <w:tcPr>
            <w:tcW w:w="9180" w:type="dxa"/>
            <w:gridSpan w:val="2"/>
            <w:shd w:val="clear" w:color="auto" w:fill="auto"/>
          </w:tcPr>
          <w:p w:rsidR="003E442E" w:rsidRDefault="003E442E" w:rsidP="007E2A12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21517">
              <w:rPr>
                <w:rFonts w:cs="Calibri"/>
                <w:b/>
                <w:sz w:val="20"/>
              </w:rPr>
              <w:t>Accountabilities</w:t>
            </w:r>
          </w:p>
          <w:p w:rsidR="003E442E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Work with brand and market teams to a</w:t>
            </w:r>
            <w:r w:rsidRPr="007C285B">
              <w:rPr>
                <w:rFonts w:cs="Calibri"/>
                <w:sz w:val="20"/>
              </w:rPr>
              <w:t xml:space="preserve">uthor and edit brand, </w:t>
            </w:r>
            <w:r>
              <w:rPr>
                <w:rFonts w:cs="Calibri"/>
                <w:sz w:val="20"/>
              </w:rPr>
              <w:t>category</w:t>
            </w:r>
            <w:r w:rsidRPr="007C285B">
              <w:rPr>
                <w:rFonts w:cs="Calibri"/>
                <w:sz w:val="20"/>
              </w:rPr>
              <w:t xml:space="preserve"> and </w:t>
            </w:r>
            <w:r>
              <w:rPr>
                <w:rFonts w:cs="Calibri"/>
                <w:sz w:val="20"/>
              </w:rPr>
              <w:t>market</w:t>
            </w:r>
            <w:r w:rsidRPr="007C285B">
              <w:rPr>
                <w:rFonts w:cs="Calibri"/>
                <w:sz w:val="20"/>
              </w:rPr>
              <w:t>-specific content on behalf of the business</w:t>
            </w:r>
            <w:r>
              <w:rPr>
                <w:rFonts w:cs="Calibri"/>
                <w:sz w:val="20"/>
              </w:rPr>
              <w:t xml:space="preserve"> including </w:t>
            </w:r>
            <w:r w:rsidRPr="007C285B">
              <w:rPr>
                <w:rFonts w:cs="Calibri"/>
                <w:sz w:val="20"/>
              </w:rPr>
              <w:t>written elements of marketing</w:t>
            </w:r>
            <w:r>
              <w:rPr>
                <w:rFonts w:cs="Calibri"/>
                <w:sz w:val="20"/>
              </w:rPr>
              <w:t xml:space="preserve"> and </w:t>
            </w:r>
            <w:r w:rsidRPr="007C285B">
              <w:rPr>
                <w:rFonts w:cs="Calibri"/>
                <w:sz w:val="20"/>
              </w:rPr>
              <w:t>advertisements</w:t>
            </w:r>
            <w:r>
              <w:rPr>
                <w:rFonts w:cs="Calibri"/>
                <w:sz w:val="20"/>
              </w:rPr>
              <w:t xml:space="preserve"> </w:t>
            </w:r>
            <w:r w:rsidRPr="007C285B">
              <w:rPr>
                <w:rFonts w:cs="Calibri"/>
                <w:sz w:val="20"/>
              </w:rPr>
              <w:t xml:space="preserve">for application </w:t>
            </w:r>
            <w:r>
              <w:rPr>
                <w:rFonts w:cs="Calibri"/>
                <w:sz w:val="20"/>
              </w:rPr>
              <w:t xml:space="preserve">on our owned web assets but with relevance </w:t>
            </w:r>
            <w:r w:rsidRPr="007C285B">
              <w:rPr>
                <w:rFonts w:cs="Calibri"/>
                <w:sz w:val="20"/>
              </w:rPr>
              <w:t>across multiple channels</w:t>
            </w:r>
          </w:p>
          <w:p w:rsidR="003E442E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7C285B">
              <w:rPr>
                <w:rFonts w:cs="Calibri"/>
                <w:sz w:val="20"/>
              </w:rPr>
              <w:t>Be responsible for copy</w:t>
            </w:r>
            <w:r>
              <w:rPr>
                <w:rFonts w:cs="Calibri"/>
                <w:sz w:val="20"/>
              </w:rPr>
              <w:t>-</w:t>
            </w:r>
            <w:r w:rsidRPr="007C285B">
              <w:rPr>
                <w:rFonts w:cs="Calibri"/>
                <w:sz w:val="20"/>
              </w:rPr>
              <w:t>editing and proof</w:t>
            </w:r>
            <w:r>
              <w:rPr>
                <w:rFonts w:cs="Calibri"/>
                <w:sz w:val="20"/>
              </w:rPr>
              <w:t xml:space="preserve"> </w:t>
            </w:r>
            <w:r w:rsidRPr="007C285B">
              <w:rPr>
                <w:rFonts w:cs="Calibri"/>
                <w:sz w:val="20"/>
              </w:rPr>
              <w:t>reading various types of written content and final</w:t>
            </w:r>
            <w:r>
              <w:rPr>
                <w:rFonts w:cs="Calibri"/>
                <w:sz w:val="20"/>
              </w:rPr>
              <w:t>ising</w:t>
            </w:r>
            <w:r w:rsidRPr="007C285B">
              <w:rPr>
                <w:rFonts w:cs="Calibri"/>
                <w:sz w:val="20"/>
              </w:rPr>
              <w:t xml:space="preserve"> content that may have undergone extensive edits from multiple parties within project deadlines</w:t>
            </w:r>
            <w:r>
              <w:rPr>
                <w:rFonts w:cs="Calibri"/>
                <w:sz w:val="20"/>
              </w:rPr>
              <w:t xml:space="preserve"> to ensure </w:t>
            </w:r>
            <w:r w:rsidRPr="007C285B">
              <w:rPr>
                <w:rFonts w:cs="Calibri"/>
                <w:sz w:val="20"/>
              </w:rPr>
              <w:t>consistent formatt</w:t>
            </w:r>
            <w:r>
              <w:rPr>
                <w:rFonts w:cs="Calibri"/>
                <w:sz w:val="20"/>
              </w:rPr>
              <w:t>ing</w:t>
            </w:r>
            <w:r w:rsidRPr="007C285B">
              <w:rPr>
                <w:rFonts w:cs="Calibri"/>
                <w:sz w:val="20"/>
              </w:rPr>
              <w:t>, word use, grammar, punctuation, syntax, as well as accurate facts and figures</w:t>
            </w:r>
            <w:r>
              <w:rPr>
                <w:rFonts w:cs="Calibri"/>
                <w:sz w:val="20"/>
              </w:rPr>
              <w:t>.</w:t>
            </w:r>
          </w:p>
          <w:p w:rsidR="003E442E" w:rsidRPr="007C285B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7C285B">
              <w:rPr>
                <w:rFonts w:cs="Calibri"/>
                <w:sz w:val="20"/>
              </w:rPr>
              <w:t>Ensure product content is correct, up-to-date, SEO-optimised, engagement-focused, aligned to trending search terms, product launches and campaigns across our global regions</w:t>
            </w:r>
          </w:p>
          <w:p w:rsidR="003E442E" w:rsidRPr="007C285B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7C285B">
              <w:rPr>
                <w:rFonts w:cs="Calibri"/>
                <w:sz w:val="20"/>
              </w:rPr>
              <w:t xml:space="preserve">Drive editorial process improvements </w:t>
            </w:r>
            <w:r>
              <w:rPr>
                <w:rFonts w:cs="Calibri"/>
                <w:sz w:val="20"/>
              </w:rPr>
              <w:t>in order</w:t>
            </w:r>
            <w:r w:rsidRPr="007C285B">
              <w:rPr>
                <w:rFonts w:cs="Calibri"/>
                <w:sz w:val="20"/>
              </w:rPr>
              <w:t xml:space="preserve"> to improve quality and speed to market</w:t>
            </w:r>
          </w:p>
          <w:p w:rsidR="003E442E" w:rsidRPr="000216E1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7C285B">
              <w:rPr>
                <w:rFonts w:cs="Calibri"/>
                <w:sz w:val="20"/>
              </w:rPr>
              <w:t>Where necessary, liaise with external writers and translators to produce content that resonates with different market cultures and language</w:t>
            </w:r>
          </w:p>
          <w:p w:rsidR="003E442E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7C285B">
              <w:rPr>
                <w:rFonts w:cs="Calibri"/>
                <w:sz w:val="20"/>
              </w:rPr>
              <w:t>Assist on CMS management to plan workflows (e.g. staging and production) across multiple publish</w:t>
            </w:r>
            <w:r>
              <w:rPr>
                <w:rFonts w:cs="Calibri"/>
                <w:sz w:val="20"/>
              </w:rPr>
              <w:t>ing</w:t>
            </w:r>
            <w:r w:rsidRPr="007C285B">
              <w:rPr>
                <w:rFonts w:cs="Calibri"/>
                <w:sz w:val="20"/>
              </w:rPr>
              <w:t xml:space="preserve"> destinations, curate </w:t>
            </w:r>
            <w:r>
              <w:rPr>
                <w:rFonts w:cs="Calibri"/>
                <w:sz w:val="20"/>
              </w:rPr>
              <w:t xml:space="preserve">relevant </w:t>
            </w:r>
            <w:r w:rsidRPr="007C285B">
              <w:rPr>
                <w:rFonts w:cs="Calibri"/>
                <w:sz w:val="20"/>
              </w:rPr>
              <w:t xml:space="preserve">assets in the media library including marketing content, new product launch materials, sales engagement materials for </w:t>
            </w:r>
            <w:r>
              <w:rPr>
                <w:rFonts w:cs="Calibri"/>
                <w:sz w:val="20"/>
              </w:rPr>
              <w:t xml:space="preserve">consistent </w:t>
            </w:r>
            <w:r w:rsidRPr="007C285B">
              <w:rPr>
                <w:rFonts w:cs="Calibri"/>
                <w:sz w:val="20"/>
              </w:rPr>
              <w:t xml:space="preserve">distribution through </w:t>
            </w:r>
            <w:r>
              <w:rPr>
                <w:rFonts w:cs="Calibri"/>
                <w:sz w:val="20"/>
              </w:rPr>
              <w:t xml:space="preserve">relevant </w:t>
            </w:r>
            <w:r w:rsidRPr="007C285B">
              <w:rPr>
                <w:rFonts w:cs="Calibri"/>
                <w:sz w:val="20"/>
              </w:rPr>
              <w:t>channels</w:t>
            </w:r>
            <w:r>
              <w:rPr>
                <w:rFonts w:cs="Calibri"/>
                <w:sz w:val="20"/>
              </w:rPr>
              <w:t xml:space="preserve"> – working with broader ACE team</w:t>
            </w:r>
          </w:p>
          <w:p w:rsidR="003E442E" w:rsidRPr="007C285B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Develop expertise in the CMS platform in order to manage and edit key elements of the user experience, and create localised or new versions of relevant web and campaign domains – working with GTS and 3</w:t>
            </w:r>
            <w:r w:rsidRPr="000216E1">
              <w:rPr>
                <w:rFonts w:cs="Calibri"/>
                <w:sz w:val="20"/>
                <w:vertAlign w:val="superscript"/>
              </w:rPr>
              <w:t>rd</w:t>
            </w:r>
            <w:r>
              <w:rPr>
                <w:rFonts w:cs="Calibri"/>
                <w:sz w:val="20"/>
              </w:rPr>
              <w:t xml:space="preserve"> parties as needed</w:t>
            </w:r>
          </w:p>
          <w:p w:rsidR="003E442E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475A5A">
              <w:rPr>
                <w:rFonts w:cs="Calibri"/>
                <w:sz w:val="20"/>
              </w:rPr>
              <w:t>Support and enhance compelling research-led product approaches to test content, platform components, and UI/UX</w:t>
            </w:r>
            <w:r>
              <w:rPr>
                <w:rFonts w:cs="Calibri"/>
                <w:sz w:val="20"/>
              </w:rPr>
              <w:t xml:space="preserve"> together with broader ACE team, Insights, and Content Lab as relevant</w:t>
            </w:r>
          </w:p>
          <w:p w:rsidR="003E442E" w:rsidRPr="00404282" w:rsidRDefault="003E442E" w:rsidP="007E2A12">
            <w:pPr>
              <w:pStyle w:val="NoSpacing"/>
              <w:numPr>
                <w:ilvl w:val="0"/>
                <w:numId w:val="1"/>
              </w:numPr>
              <w:tabs>
                <w:tab w:val="num" w:pos="720"/>
              </w:tabs>
              <w:spacing w:after="240" w:line="240" w:lineRule="auto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L</w:t>
            </w:r>
            <w:r w:rsidRPr="007C285B">
              <w:rPr>
                <w:rFonts w:cs="Calibri"/>
                <w:sz w:val="20"/>
              </w:rPr>
              <w:t>iais</w:t>
            </w:r>
            <w:r>
              <w:rPr>
                <w:rFonts w:cs="Calibri"/>
                <w:sz w:val="20"/>
              </w:rPr>
              <w:t>e</w:t>
            </w:r>
            <w:r w:rsidRPr="007C285B">
              <w:rPr>
                <w:rFonts w:cs="Calibri"/>
                <w:sz w:val="20"/>
              </w:rPr>
              <w:t xml:space="preserve"> with legal and compliance teams</w:t>
            </w:r>
            <w:r>
              <w:rPr>
                <w:rFonts w:cs="Calibri"/>
                <w:sz w:val="20"/>
              </w:rPr>
              <w:t xml:space="preserve"> to ensure all content and web properties are fully compliant with internal policy and local legislation</w:t>
            </w:r>
          </w:p>
        </w:tc>
      </w:tr>
    </w:tbl>
    <w:p w:rsidR="002F0763" w:rsidRDefault="002F0763" w:rsidP="00F3381A">
      <w:pPr>
        <w:pStyle w:val="NoSpacing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Tr="003E442E">
        <w:tc>
          <w:tcPr>
            <w:tcW w:w="9242" w:type="dxa"/>
          </w:tcPr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Values</w:t>
            </w:r>
          </w:p>
          <w:p w:rsidR="003E442E" w:rsidRPr="003E442E" w:rsidRDefault="003E442E" w:rsidP="003E442E">
            <w:pPr>
              <w:pStyle w:val="NoSpacing"/>
              <w:jc w:val="center"/>
              <w:rPr>
                <w:rFonts w:cs="Calibri"/>
                <w:b/>
                <w:sz w:val="20"/>
              </w:rPr>
            </w:pPr>
            <w:r w:rsidRPr="003E442E">
              <w:rPr>
                <w:rFonts w:cs="Calibri"/>
                <w:noProof/>
                <w:color w:val="000000"/>
                <w:sz w:val="20"/>
                <w:lang w:eastAsia="en-GB"/>
              </w:rPr>
              <w:drawing>
                <wp:inline distT="0" distB="0" distL="0" distR="0">
                  <wp:extent cx="4448175" cy="1695450"/>
                  <wp:effectExtent l="0" t="0" r="0" b="0"/>
                  <wp:docPr id="3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42E" w:rsidRDefault="003E442E" w:rsidP="00F3381A">
      <w:pPr>
        <w:pStyle w:val="NoSpacing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Tr="003E442E">
        <w:trPr>
          <w:trHeight w:val="6784"/>
        </w:trPr>
        <w:tc>
          <w:tcPr>
            <w:tcW w:w="9242" w:type="dxa"/>
          </w:tcPr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Core Competencies</w:t>
            </w:r>
          </w:p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6"/>
              <w:gridCol w:w="4474"/>
            </w:tblGrid>
            <w:tr w:rsidR="003E442E" w:rsidTr="00561E55">
              <w:tc>
                <w:tcPr>
                  <w:tcW w:w="4652" w:type="dxa"/>
                  <w:shd w:val="clear" w:color="auto" w:fill="auto"/>
                </w:tcPr>
                <w:p w:rsidR="003E442E" w:rsidRPr="003E442E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szCs w:val="20"/>
                    </w:rPr>
                    <w:t>Deciding and Initiating Action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 xml:space="preserve">Makes prompt, clear decisions which may involve tough choices or considered risks 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 xml:space="preserve">Takes initiative, acts with confidence 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Initiates and generates activity</w:t>
                  </w:r>
                </w:p>
                <w:p w:rsidR="003E442E" w:rsidRPr="003E442E" w:rsidRDefault="003E442E" w:rsidP="003E442E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3E442E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color w:val="000000"/>
                      <w:szCs w:val="20"/>
                    </w:rPr>
                    <w:t>Relating and Networking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Establishes good relationships with customers and staff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Builds wide and effective networks of contacts inside and outside the organisation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Relates well to people at all levels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Manages conflict</w:t>
                  </w:r>
                </w:p>
                <w:p w:rsidR="003E442E" w:rsidRPr="003E442E" w:rsidRDefault="003E442E" w:rsidP="003E442E">
                  <w:pPr>
                    <w:pStyle w:val="BodyCopy"/>
                    <w:ind w:left="360"/>
                    <w:rPr>
                      <w:rFonts w:ascii="Source Sans Pro" w:hAnsi="Source Sans Pro"/>
                      <w:color w:val="FF0000"/>
                      <w:szCs w:val="20"/>
                    </w:rPr>
                  </w:pPr>
                </w:p>
              </w:tc>
            </w:tr>
            <w:tr w:rsidR="003E442E" w:rsidTr="00561E55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:rsidR="003E442E" w:rsidRPr="003E442E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szCs w:val="20"/>
                    </w:rPr>
                    <w:t>Analysing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Analyses numerical data, verbal data and all other sources of information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Breaks information into component parts, patterns and relationships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Probes for further information or greater understanding of a problem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Makes rational judgements from the available information and analysis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Produces workable solutions to a range of problems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szCs w:val="20"/>
                    </w:rPr>
                    <w:t>Demonstrates an understanding of how one issue may be a part of a much larger system</w:t>
                  </w:r>
                </w:p>
                <w:p w:rsidR="003E442E" w:rsidRPr="003E442E" w:rsidRDefault="003E442E" w:rsidP="003E442E">
                  <w:pPr>
                    <w:pStyle w:val="BodyCopy"/>
                    <w:ind w:left="227"/>
                    <w:rPr>
                      <w:rFonts w:ascii="Source Sans Pro" w:hAnsi="Source Sans Pro"/>
                      <w:szCs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3E442E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szCs w:val="20"/>
                    </w:rPr>
                    <w:t>Presenting and Communicating Information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Expresses opinions, information and key points of an argument clearly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Makes presentations and undertakes public speaking with skill and confidence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Responds quickly to the needs of an audience and to their reactions and feedback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Projects credibility</w:t>
                  </w:r>
                </w:p>
              </w:tc>
            </w:tr>
            <w:tr w:rsidR="003E442E" w:rsidTr="00561E55">
              <w:tc>
                <w:tcPr>
                  <w:tcW w:w="4652" w:type="dxa"/>
                  <w:shd w:val="clear" w:color="auto" w:fill="auto"/>
                </w:tcPr>
                <w:p w:rsidR="003E442E" w:rsidRPr="003E442E" w:rsidRDefault="003E442E" w:rsidP="003E442E">
                  <w:pPr>
                    <w:rPr>
                      <w:rFonts w:ascii="Source Sans Pro" w:hAnsi="Source Sans Pro"/>
                      <w:b/>
                      <w:sz w:val="2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sz w:val="20"/>
                      <w:szCs w:val="20"/>
                    </w:rPr>
                    <w:t>Applying Expertise &amp; Technology</w:t>
                  </w:r>
                </w:p>
                <w:p w:rsidR="003E442E" w:rsidRPr="003E442E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442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Applies specialist and detailed technical expertise</w:t>
                  </w:r>
                </w:p>
                <w:p w:rsidR="003E442E" w:rsidRPr="003E442E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442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Develops job knowledge and expertise through continual professional development</w:t>
                  </w:r>
                </w:p>
                <w:p w:rsidR="003E442E" w:rsidRPr="003E442E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442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Shares expertise and knowledge with others</w:t>
                  </w:r>
                </w:p>
                <w:p w:rsidR="003E442E" w:rsidRPr="003E442E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442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technology to achieve work objectives</w:t>
                  </w:r>
                </w:p>
                <w:p w:rsidR="003E442E" w:rsidRPr="003E442E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442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3E442E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b/>
                      <w:szCs w:val="20"/>
                    </w:rPr>
                    <w:t>Adapting and Responding to Change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Adapts to changing circumstances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Accepts new ideas and change initiatives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Adapts interpersonal style to suit different people or situations</w:t>
                  </w:r>
                </w:p>
                <w:p w:rsidR="003E442E" w:rsidRP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 xml:space="preserve">Shows respect and sensitivity towards cultural and religious differences. </w:t>
                  </w:r>
                </w:p>
                <w:p w:rsidR="003E442E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3E442E">
                    <w:rPr>
                      <w:rFonts w:ascii="Source Sans Pro" w:hAnsi="Source Sans Pro"/>
                      <w:color w:val="000000"/>
                      <w:szCs w:val="20"/>
                    </w:rPr>
                    <w:t>Deals with ambiguity, making positive use o</w:t>
                  </w:r>
                  <w:r>
                    <w:rPr>
                      <w:rFonts w:ascii="Source Sans Pro" w:hAnsi="Source Sans Pro"/>
                      <w:color w:val="000000"/>
                      <w:szCs w:val="20"/>
                    </w:rPr>
                    <w:t>f the opportunities it presents</w:t>
                  </w:r>
                </w:p>
                <w:p w:rsidR="003E442E" w:rsidRPr="003E442E" w:rsidRDefault="003E442E" w:rsidP="003E442E">
                  <w:pPr>
                    <w:pStyle w:val="BodyCopy"/>
                    <w:ind w:left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</w:p>
              </w:tc>
            </w:tr>
          </w:tbl>
          <w:p w:rsidR="003E442E" w:rsidRDefault="003E442E" w:rsidP="00F3381A">
            <w:pPr>
              <w:pStyle w:val="NoSpacing"/>
              <w:rPr>
                <w:color w:val="000000"/>
              </w:rPr>
            </w:pPr>
          </w:p>
        </w:tc>
      </w:tr>
    </w:tbl>
    <w:p w:rsidR="003E442E" w:rsidRDefault="003E442E" w:rsidP="00F3381A">
      <w:pPr>
        <w:pStyle w:val="NoSpacing"/>
        <w:rPr>
          <w:color w:val="000000"/>
        </w:rPr>
      </w:pPr>
    </w:p>
    <w:p w:rsidR="003E442E" w:rsidRDefault="003E442E" w:rsidP="00F3381A">
      <w:pPr>
        <w:pStyle w:val="NoSpacing"/>
        <w:rPr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372"/>
      </w:tblGrid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Created by: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Iain Fraser</w:t>
            </w:r>
          </w:p>
        </w:tc>
      </w:tr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Date: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15</w:t>
            </w:r>
            <w:r w:rsidRPr="002E62C8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June</w:t>
            </w:r>
            <w:r w:rsidRPr="00A21517">
              <w:rPr>
                <w:rFonts w:ascii="Source Sans Pro" w:hAnsi="Source Sans Pro" w:cs="Calibri"/>
                <w:sz w:val="20"/>
                <w:szCs w:val="20"/>
              </w:rPr>
              <w:t xml:space="preserve"> 2021</w:t>
            </w:r>
          </w:p>
        </w:tc>
      </w:tr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HRBP: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Liam MacNamee</w:t>
            </w:r>
          </w:p>
        </w:tc>
      </w:tr>
      <w:tr w:rsidR="003E442E" w:rsidRPr="00A21517" w:rsidTr="003E442E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Date of last revision: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15</w:t>
            </w:r>
            <w:r w:rsidRPr="002E62C8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June</w:t>
            </w:r>
            <w:r w:rsidRPr="00A21517">
              <w:rPr>
                <w:rFonts w:ascii="Source Sans Pro" w:hAnsi="Source Sans Pro" w:cs="Calibri"/>
                <w:sz w:val="20"/>
                <w:szCs w:val="20"/>
              </w:rPr>
              <w:t xml:space="preserve"> 2021</w:t>
            </w:r>
          </w:p>
        </w:tc>
      </w:tr>
    </w:tbl>
    <w:p w:rsidR="003E442E" w:rsidRPr="003E442E" w:rsidRDefault="003E442E" w:rsidP="00F3381A">
      <w:pPr>
        <w:pStyle w:val="NoSpacing"/>
        <w:rPr>
          <w:color w:val="000000"/>
        </w:rPr>
      </w:pPr>
    </w:p>
    <w:sectPr w:rsidR="003E442E" w:rsidRPr="003E442E" w:rsidSect="003E442E">
      <w:head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2B" w:rsidRDefault="009D0E2B" w:rsidP="003E442E">
      <w:r>
        <w:separator/>
      </w:r>
    </w:p>
  </w:endnote>
  <w:endnote w:type="continuationSeparator" w:id="0">
    <w:p w:rsidR="009D0E2B" w:rsidRDefault="009D0E2B" w:rsidP="003E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Calibri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2B" w:rsidRDefault="009D0E2B" w:rsidP="003E442E">
      <w:r>
        <w:separator/>
      </w:r>
    </w:p>
  </w:footnote>
  <w:footnote w:type="continuationSeparator" w:id="0">
    <w:p w:rsidR="009D0E2B" w:rsidRDefault="009D0E2B" w:rsidP="003E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2E" w:rsidRDefault="003E44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-131445</wp:posOffset>
          </wp:positionV>
          <wp:extent cx="3023235" cy="424815"/>
          <wp:effectExtent l="0" t="0" r="0" b="0"/>
          <wp:wrapNone/>
          <wp:docPr id="2" name="Picture 14" descr="/Volumes/LOCAL WORK/Dropbox/_Corporate/WGS Logo/William_Grant__5512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Volumes/LOCAL WORK/Dropbox/_Corporate/WGS Logo/William_Grant__5512_Ori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B1C22"/>
    <w:multiLevelType w:val="multilevel"/>
    <w:tmpl w:val="A3BAB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C6990"/>
    <w:multiLevelType w:val="hybridMultilevel"/>
    <w:tmpl w:val="BC4C2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F17F28"/>
    <w:multiLevelType w:val="hybridMultilevel"/>
    <w:tmpl w:val="A50A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55A"/>
    <w:multiLevelType w:val="hybridMultilevel"/>
    <w:tmpl w:val="7F52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251F9"/>
    <w:multiLevelType w:val="hybridMultilevel"/>
    <w:tmpl w:val="F59C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E"/>
    <w:rsid w:val="002F0763"/>
    <w:rsid w:val="003E442E"/>
    <w:rsid w:val="006927FF"/>
    <w:rsid w:val="007E2A12"/>
    <w:rsid w:val="00815180"/>
    <w:rsid w:val="00954363"/>
    <w:rsid w:val="009D0E2B"/>
    <w:rsid w:val="00AF3017"/>
    <w:rsid w:val="00B3788F"/>
    <w:rsid w:val="00B52B91"/>
    <w:rsid w:val="00BD0CF5"/>
    <w:rsid w:val="00D97492"/>
    <w:rsid w:val="00E97B96"/>
    <w:rsid w:val="00F3381A"/>
    <w:rsid w:val="00F57AE9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9BD3C"/>
  <w15:chartTrackingRefBased/>
  <w15:docId w15:val="{B2355584-44EA-4197-BCC5-846B6D21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Calibri" w:hAnsi="Source Sans Pr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2E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="Times New Roman" w:hAnsi="Source Sans Pro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="Times New Roman" w:hAnsi="Source Sans Pro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954363"/>
    <w:rPr>
      <w:rFonts w:ascii="Source Sans Pro Black" w:eastAsia="Times New Roman" w:hAnsi="Source Sans Pro Black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54363"/>
    <w:rPr>
      <w:rFonts w:ascii="Source Sans Pro Black" w:eastAsia="Times New Roman" w:hAnsi="Source Sans Pro Black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954363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54363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954363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954363"/>
    <w:rPr>
      <w:rFonts w:eastAsia="Times New Roman"/>
      <w:b/>
      <w:bCs/>
      <w:szCs w:val="22"/>
    </w:rPr>
  </w:style>
  <w:style w:type="character" w:customStyle="1" w:styleId="Heading7Char">
    <w:name w:val="Heading 7 Char"/>
    <w:link w:val="Heading7"/>
    <w:uiPriority w:val="9"/>
    <w:rsid w:val="00954363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95436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954363"/>
    <w:rPr>
      <w:rFonts w:eastAsia="Times New Roman" w:cs="Times New Roman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="Times New Roman" w:hAnsi="Source Sans Pro Black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4363"/>
    <w:rPr>
      <w:rFonts w:ascii="Source Sans Pro Black" w:eastAsia="Times New Roman" w:hAnsi="Source Sans Pro Black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954363"/>
    <w:rPr>
      <w:rFonts w:eastAsia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954363"/>
    <w:rPr>
      <w:rFonts w:ascii="Source Sans Pro" w:hAnsi="Source Sans Pro"/>
      <w:i/>
      <w:iCs/>
      <w:color w:val="404040"/>
    </w:rPr>
  </w:style>
  <w:style w:type="character" w:styleId="Emphasis">
    <w:name w:val="Emphasis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uiPriority w:val="21"/>
    <w:qFormat/>
    <w:rsid w:val="00954363"/>
    <w:rPr>
      <w:rFonts w:ascii="Source Sans Pro" w:hAnsi="Source Sans Pro"/>
      <w:i/>
      <w:iCs/>
      <w:color w:val="4F81BD"/>
    </w:rPr>
  </w:style>
  <w:style w:type="character" w:styleId="Strong">
    <w:name w:val="Strong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5436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363"/>
    <w:rPr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2E"/>
    <w:rPr>
      <w:rFonts w:ascii="Calibri" w:hAnsi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2E"/>
    <w:rPr>
      <w:rFonts w:ascii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E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42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Copy">
    <w:name w:val="Body Copy"/>
    <w:basedOn w:val="Normal"/>
    <w:rsid w:val="003E442E"/>
    <w:rPr>
      <w:rFonts w:ascii="Humnst777 BT" w:eastAsia="Times New Roman" w:hAnsi="Humnst777 B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Grant &amp; Sons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MacNamee</dc:creator>
  <cp:keywords/>
  <dc:description/>
  <cp:lastModifiedBy>Liam MacNamee</cp:lastModifiedBy>
  <cp:revision>3</cp:revision>
  <dcterms:created xsi:type="dcterms:W3CDTF">2021-07-05T08:59:00Z</dcterms:created>
  <dcterms:modified xsi:type="dcterms:W3CDTF">2021-07-07T12:44:00Z</dcterms:modified>
</cp:coreProperties>
</file>