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92E0" w14:textId="75344BDB" w:rsidR="005D36D7" w:rsidRPr="00EC4F4A" w:rsidRDefault="00645F29" w:rsidP="00B541BB">
      <w:pPr>
        <w:pStyle w:val="Heading2"/>
        <w:spacing w:before="100" w:beforeAutospacing="1" w:after="100" w:afterAutospacing="1"/>
        <w:rPr>
          <w:rFonts w:ascii="Source Sans Pro" w:hAnsi="Source Sans Pro"/>
          <w:sz w:val="22"/>
          <w:szCs w:val="22"/>
        </w:rPr>
      </w:pPr>
      <w:r w:rsidRPr="00EC4F4A">
        <w:rPr>
          <w:rFonts w:ascii="Source Sans Pro" w:hAnsi="Source Sans Pro"/>
          <w:sz w:val="22"/>
          <w:szCs w:val="22"/>
        </w:rPr>
        <w:t>Role Profile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20"/>
        <w:gridCol w:w="6265"/>
      </w:tblGrid>
      <w:tr w:rsidR="008D65A4" w:rsidRPr="00EC4F4A" w14:paraId="16D0F24F" w14:textId="77777777" w:rsidTr="00EC4F4A">
        <w:trPr>
          <w:trHeight w:val="249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981" w:type="dxa"/>
            <w:gridSpan w:val="2"/>
            <w:tcBorders>
              <w:top w:val="single" w:sz="4" w:space="0" w:color="767171"/>
            </w:tcBorders>
            <w:shd w:val="clear" w:color="auto" w:fill="auto"/>
          </w:tcPr>
          <w:p w14:paraId="5B24334D" w14:textId="3989FC4B" w:rsidR="008D65A4" w:rsidRPr="00EC4F4A" w:rsidRDefault="00722FF7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>
              <w:rPr>
                <w:rFonts w:ascii="Source Sans Pro" w:hAnsi="Source Sans Pro" w:cs="Calibri"/>
                <w:b/>
                <w:color w:val="000000"/>
              </w:rPr>
              <w:t>National Account Manager</w:t>
            </w:r>
          </w:p>
        </w:tc>
      </w:tr>
      <w:tr w:rsidR="008D65A4" w:rsidRPr="00EC4F4A" w14:paraId="12F3A5F1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68EC724D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Business Unit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51E9D740" w14:textId="4D92A9D3" w:rsidR="008D65A4" w:rsidRPr="00EC4F4A" w:rsidRDefault="00722FF7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Australia</w:t>
            </w:r>
          </w:p>
        </w:tc>
      </w:tr>
      <w:tr w:rsidR="008D65A4" w:rsidRPr="00EC4F4A" w14:paraId="772E0600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2831D369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Function/Region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1A883A37" w14:textId="5044F33A" w:rsidR="008D65A4" w:rsidRPr="00EC4F4A" w:rsidRDefault="00722FF7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Commercial</w:t>
            </w:r>
            <w:r w:rsidR="000B77B3">
              <w:rPr>
                <w:rFonts w:ascii="Source Sans Pro" w:hAnsi="Source Sans Pro" w:cs="Calibri"/>
                <w:color w:val="000000"/>
              </w:rPr>
              <w:t xml:space="preserve"> / Sales</w:t>
            </w:r>
          </w:p>
        </w:tc>
      </w:tr>
      <w:tr w:rsidR="008D65A4" w:rsidRPr="00EC4F4A" w14:paraId="62585BC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3BA92CC7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Location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6427B505" w14:textId="6D6A90F0" w:rsidR="008D65A4" w:rsidRPr="00EC4F4A" w:rsidRDefault="000B77B3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Australia</w:t>
            </w:r>
          </w:p>
        </w:tc>
      </w:tr>
      <w:tr w:rsidR="008D65A4" w:rsidRPr="00EC4F4A" w14:paraId="12AAF3ED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72C5CEC3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Leader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2999F724" w14:textId="01D8DF8B" w:rsidR="008D65A4" w:rsidRPr="00EC4F4A" w:rsidRDefault="00722FF7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 xml:space="preserve">Senior National Business Manager </w:t>
            </w:r>
          </w:p>
        </w:tc>
      </w:tr>
      <w:tr w:rsidR="008D65A4" w:rsidRPr="00EC4F4A" w14:paraId="3F9BA4F8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435C8864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People Leadership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4FE92E22" w14:textId="166686F5" w:rsidR="008D65A4" w:rsidRPr="00EC4F4A" w:rsidRDefault="008A7B59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N</w:t>
            </w:r>
            <w:r w:rsidR="000B77B3">
              <w:rPr>
                <w:rFonts w:ascii="Source Sans Pro" w:hAnsi="Source Sans Pro" w:cs="Calibri"/>
                <w:color w:val="000000"/>
              </w:rPr>
              <w:t>one</w:t>
            </w:r>
          </w:p>
        </w:tc>
      </w:tr>
      <w:tr w:rsidR="008D65A4" w:rsidRPr="00EC4F4A" w14:paraId="0E2F53D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51149708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Job Level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1DF2FF0D" w14:textId="5A8456A0" w:rsidR="008D65A4" w:rsidRPr="00EC4F4A" w:rsidRDefault="00722FF7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4B</w:t>
            </w:r>
          </w:p>
        </w:tc>
      </w:tr>
      <w:tr w:rsidR="008D65A4" w:rsidRPr="00EC4F4A" w14:paraId="154749F0" w14:textId="77777777" w:rsidTr="00EC4F4A">
        <w:trPr>
          <w:trHeight w:val="1198"/>
        </w:trPr>
        <w:tc>
          <w:tcPr>
            <w:tcW w:w="9776" w:type="dxa"/>
            <w:gridSpan w:val="3"/>
            <w:shd w:val="clear" w:color="auto" w:fill="auto"/>
          </w:tcPr>
          <w:p w14:paraId="48B028D6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EC4F4A">
              <w:rPr>
                <w:rFonts w:ascii="Source Sans Pro" w:hAnsi="Source Sans Pro" w:cs="Calibri"/>
                <w:b/>
              </w:rPr>
              <w:t xml:space="preserve">Role Purpose </w:t>
            </w:r>
          </w:p>
          <w:p w14:paraId="291B6965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</w:p>
          <w:p w14:paraId="1F89CEC7" w14:textId="01784EA4" w:rsidR="00EC4F4A" w:rsidRPr="000B77B3" w:rsidRDefault="00722FF7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  <w:r w:rsidRPr="000B77B3">
              <w:rPr>
                <w:rFonts w:ascii="Source Sans Pro" w:hAnsi="Source Sans Pro" w:cs="Calibri"/>
              </w:rPr>
              <w:t>To profitably maximise the distribution, promotional activity and sales of the WG&amp;S portfolio through the allocated business partners &amp; their On Line business. This will include the development of an annual Joint Business Plan</w:t>
            </w:r>
            <w:r w:rsidR="00957075">
              <w:rPr>
                <w:rFonts w:ascii="Source Sans Pro" w:hAnsi="Source Sans Pro" w:cs="Calibri"/>
              </w:rPr>
              <w:t xml:space="preserve"> </w:t>
            </w:r>
            <w:r w:rsidRPr="000B77B3">
              <w:rPr>
                <w:rFonts w:ascii="Source Sans Pro" w:hAnsi="Source Sans Pro" w:cs="Calibri"/>
              </w:rPr>
              <w:t>with each group.</w:t>
            </w:r>
          </w:p>
          <w:p w14:paraId="707A0CBB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</w:p>
        </w:tc>
      </w:tr>
      <w:tr w:rsidR="008D65A4" w:rsidRPr="00EC4F4A" w14:paraId="7E1736CE" w14:textId="77777777" w:rsidTr="00722FF7">
        <w:trPr>
          <w:trHeight w:val="416"/>
        </w:trPr>
        <w:tc>
          <w:tcPr>
            <w:tcW w:w="9776" w:type="dxa"/>
            <w:gridSpan w:val="3"/>
            <w:shd w:val="clear" w:color="auto" w:fill="auto"/>
          </w:tcPr>
          <w:p w14:paraId="6AEC3428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EC4F4A">
              <w:rPr>
                <w:rFonts w:ascii="Source Sans Pro" w:hAnsi="Source Sans Pro" w:cs="Calibri"/>
                <w:b/>
              </w:rPr>
              <w:t>Accountabilities</w:t>
            </w:r>
          </w:p>
          <w:p w14:paraId="0299D6AD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</w:p>
          <w:p w14:paraId="37763065" w14:textId="0AC6FE82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Build effective robust and collaborative relationships with channel partners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4C2B73DF" w14:textId="41F5B900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Protect and grow the position of all WG&amp;S brands within the Australian market via the use of our channel partners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3A092268" w14:textId="3AB1617D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Maximise promotional programs and measure compliance using both internal and external field teams feeding into the M</w:t>
            </w:r>
            <w:r w:rsidR="00957075">
              <w:rPr>
                <w:sz w:val="22"/>
                <w:szCs w:val="22"/>
                <w:lang w:eastAsia="en-US"/>
              </w:rPr>
              <w:t xml:space="preserve">easurement </w:t>
            </w:r>
            <w:r w:rsidRPr="000B77B3">
              <w:rPr>
                <w:sz w:val="22"/>
                <w:szCs w:val="22"/>
                <w:lang w:eastAsia="en-US"/>
              </w:rPr>
              <w:t>&amp;</w:t>
            </w:r>
            <w:r w:rsidR="00957075">
              <w:rPr>
                <w:sz w:val="22"/>
                <w:szCs w:val="22"/>
                <w:lang w:eastAsia="en-US"/>
              </w:rPr>
              <w:t xml:space="preserve"> </w:t>
            </w:r>
            <w:r w:rsidRPr="000B77B3">
              <w:rPr>
                <w:sz w:val="22"/>
                <w:szCs w:val="22"/>
                <w:lang w:eastAsia="en-US"/>
              </w:rPr>
              <w:t>E</w:t>
            </w:r>
            <w:r w:rsidR="00957075">
              <w:rPr>
                <w:sz w:val="22"/>
                <w:szCs w:val="22"/>
                <w:lang w:eastAsia="en-US"/>
              </w:rPr>
              <w:t>valuation</w:t>
            </w:r>
            <w:r w:rsidRPr="000B77B3">
              <w:rPr>
                <w:sz w:val="22"/>
                <w:szCs w:val="22"/>
                <w:lang w:eastAsia="en-US"/>
              </w:rPr>
              <w:t xml:space="preserve"> process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0B79B4F2" w14:textId="77777777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Collaborate with the channel partners to agree realistic forecasts, ensuring adequate stock cover is in place at all times.</w:t>
            </w:r>
          </w:p>
          <w:p w14:paraId="571F4E20" w14:textId="0B1B8B08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Deliver the channel budget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670513E3" w14:textId="61F87CAB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Ensure the company pricing vision is adopted across channel partners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48D8EBBE" w14:textId="77777777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Establish a personal profile within the customer base building a network of contacts which supports the achievement of the broader WG&amp;S business strategy.</w:t>
            </w:r>
          </w:p>
          <w:p w14:paraId="44D8B0AA" w14:textId="6F3F143E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Plan and conduct meeting and review cycle and facilitate top-to-top meetings managing the trading relationship within budgeted spend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47FE3F07" w14:textId="060A9E09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Management of sales, profit and value reporting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7FC4BE24" w14:textId="2E72D2B8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Management of customer discounts and promotional planning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39BF59AC" w14:textId="11275EF7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Lead the forecasting and budget process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7CDFF937" w14:textId="6112D79F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Focus on optimising WG</w:t>
            </w:r>
            <w:r w:rsidR="00957075">
              <w:rPr>
                <w:sz w:val="22"/>
                <w:szCs w:val="22"/>
                <w:lang w:eastAsia="en-US"/>
              </w:rPr>
              <w:t>&amp;</w:t>
            </w:r>
            <w:r w:rsidRPr="000B77B3">
              <w:rPr>
                <w:sz w:val="22"/>
                <w:szCs w:val="22"/>
                <w:lang w:eastAsia="en-US"/>
              </w:rPr>
              <w:t>SA branded products availability and visibility within customer stores.</w:t>
            </w:r>
          </w:p>
          <w:p w14:paraId="3768BC1A" w14:textId="3777FCBB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Monitor and effectively report competitor activities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3C5DCDDC" w14:textId="41E2DE53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Continue to drive and embed Route to Consumer fundamentals (Right Place/Right Job/Right Skill/Efficiently/Sustainably)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4804F482" w14:textId="6462EB1F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</w:rPr>
              <w:t>Deliver Budget through maximising Third party field teams to drive commercial success</w:t>
            </w:r>
            <w:r w:rsidR="00957075">
              <w:rPr>
                <w:sz w:val="22"/>
                <w:szCs w:val="22"/>
              </w:rPr>
              <w:t>.</w:t>
            </w:r>
          </w:p>
          <w:p w14:paraId="5E0DEC74" w14:textId="66EB1A75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</w:rPr>
            </w:pPr>
            <w:r w:rsidRPr="000B77B3">
              <w:rPr>
                <w:sz w:val="22"/>
                <w:szCs w:val="22"/>
              </w:rPr>
              <w:t>Manage customer base effectively through R</w:t>
            </w:r>
            <w:r w:rsidR="00957075">
              <w:rPr>
                <w:sz w:val="22"/>
                <w:szCs w:val="22"/>
              </w:rPr>
              <w:t xml:space="preserve">oute to </w:t>
            </w:r>
            <w:r w:rsidRPr="000B77B3">
              <w:rPr>
                <w:sz w:val="22"/>
                <w:szCs w:val="22"/>
              </w:rPr>
              <w:t>C</w:t>
            </w:r>
            <w:r w:rsidR="00957075">
              <w:rPr>
                <w:sz w:val="22"/>
                <w:szCs w:val="22"/>
              </w:rPr>
              <w:t>onsumer</w:t>
            </w:r>
            <w:r w:rsidRPr="000B77B3">
              <w:rPr>
                <w:sz w:val="22"/>
                <w:szCs w:val="22"/>
              </w:rPr>
              <w:t>, Joint Business plans &amp; regular meetings with Key customer Personnel</w:t>
            </w:r>
            <w:r w:rsidR="00957075">
              <w:rPr>
                <w:sz w:val="22"/>
                <w:szCs w:val="22"/>
              </w:rPr>
              <w:t>.</w:t>
            </w:r>
          </w:p>
          <w:p w14:paraId="291C8733" w14:textId="3903EEC0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</w:rPr>
              <w:t>Maximise Net Revenue Management through price, mix, customer discounts and customer programs</w:t>
            </w:r>
            <w:r w:rsidR="00957075">
              <w:rPr>
                <w:sz w:val="22"/>
                <w:szCs w:val="22"/>
              </w:rPr>
              <w:t>.</w:t>
            </w:r>
          </w:p>
          <w:p w14:paraId="7B306B68" w14:textId="77745D28" w:rsidR="00EC4F4A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</w:rPr>
            </w:pPr>
            <w:r w:rsidRPr="000B77B3">
              <w:rPr>
                <w:sz w:val="22"/>
                <w:szCs w:val="22"/>
              </w:rPr>
              <w:t>Contribute to operating rhythm by continuing to Commercial Forum, S</w:t>
            </w:r>
            <w:r w:rsidR="00957075">
              <w:rPr>
                <w:sz w:val="22"/>
                <w:szCs w:val="22"/>
              </w:rPr>
              <w:t xml:space="preserve">ales </w:t>
            </w:r>
            <w:r w:rsidRPr="000B77B3">
              <w:rPr>
                <w:sz w:val="22"/>
                <w:szCs w:val="22"/>
              </w:rPr>
              <w:t>&amp;</w:t>
            </w:r>
            <w:r w:rsidR="00957075">
              <w:rPr>
                <w:sz w:val="22"/>
                <w:szCs w:val="22"/>
              </w:rPr>
              <w:t xml:space="preserve"> </w:t>
            </w:r>
            <w:r w:rsidRPr="000B77B3">
              <w:rPr>
                <w:sz w:val="22"/>
                <w:szCs w:val="22"/>
              </w:rPr>
              <w:t>O</w:t>
            </w:r>
            <w:r w:rsidR="00957075">
              <w:rPr>
                <w:sz w:val="22"/>
                <w:szCs w:val="22"/>
              </w:rPr>
              <w:t xml:space="preserve">perations </w:t>
            </w:r>
            <w:r w:rsidRPr="000B77B3">
              <w:rPr>
                <w:sz w:val="22"/>
                <w:szCs w:val="22"/>
              </w:rPr>
              <w:t>P</w:t>
            </w:r>
            <w:r w:rsidR="00957075">
              <w:rPr>
                <w:sz w:val="22"/>
                <w:szCs w:val="22"/>
              </w:rPr>
              <w:t>lanning</w:t>
            </w:r>
            <w:r w:rsidRPr="000B77B3">
              <w:rPr>
                <w:sz w:val="22"/>
                <w:szCs w:val="22"/>
              </w:rPr>
              <w:t xml:space="preserve">, Lockdown and </w:t>
            </w:r>
            <w:r w:rsidR="00957075">
              <w:rPr>
                <w:sz w:val="22"/>
                <w:szCs w:val="22"/>
              </w:rPr>
              <w:t>Trimester Sales Briefing.</w:t>
            </w:r>
          </w:p>
          <w:p w14:paraId="549F4B43" w14:textId="00435204" w:rsidR="00EC4F4A" w:rsidRPr="00EC4F4A" w:rsidRDefault="00EC4F4A" w:rsidP="00722FF7">
            <w:pPr>
              <w:rPr>
                <w:b/>
                <w:sz w:val="22"/>
                <w:szCs w:val="22"/>
              </w:rPr>
            </w:pPr>
          </w:p>
        </w:tc>
      </w:tr>
      <w:tr w:rsidR="00EC4F4A" w:rsidRPr="00EC4F4A" w14:paraId="5EC5FA56" w14:textId="77777777" w:rsidTr="00EC4F4A">
        <w:trPr>
          <w:trHeight w:val="363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720672" w14:textId="77777777" w:rsidR="00EC4F4A" w:rsidRPr="00EC4F4A" w:rsidRDefault="00EC4F4A" w:rsidP="006C572A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Values</w:t>
            </w:r>
          </w:p>
          <w:p w14:paraId="566E4125" w14:textId="4D439D18" w:rsidR="00EC4F4A" w:rsidRPr="00EC4F4A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EC4F4A">
              <w:rPr>
                <w:rFonts w:cs="Calibri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17E5E43F" wp14:editId="3F54735F">
                  <wp:extent cx="6073140" cy="2299787"/>
                  <wp:effectExtent l="0" t="0" r="3810" b="5715"/>
                  <wp:docPr id="1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323" cy="230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F4A" w:rsidRPr="00EC4F4A" w14:paraId="551B9B8F" w14:textId="77777777" w:rsidTr="00957075">
        <w:trPr>
          <w:trHeight w:val="983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21A389" w14:textId="0B89DF5B" w:rsidR="00EC4F4A" w:rsidRPr="00EC4F4A" w:rsidRDefault="00EC4F4A" w:rsidP="006C572A">
            <w:pPr>
              <w:rPr>
                <w:rFonts w:cs="Calibri"/>
                <w:i/>
                <w:sz w:val="20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t>Core Competencies:</w:t>
            </w:r>
            <w:r w:rsidRPr="00EC4F4A">
              <w:rPr>
                <w:rFonts w:cs="Calibri"/>
                <w:i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EC4F4A" w:rsidRPr="00EC4F4A" w14:paraId="430A5A9C" w14:textId="77777777" w:rsidTr="006C572A">
              <w:tc>
                <w:tcPr>
                  <w:tcW w:w="4652" w:type="dxa"/>
                  <w:shd w:val="clear" w:color="auto" w:fill="auto"/>
                </w:tcPr>
                <w:p w14:paraId="45925197" w14:textId="77777777" w:rsidR="00EC4F4A" w:rsidRPr="000B77B3" w:rsidRDefault="00EC4F4A" w:rsidP="006C572A">
                  <w:pPr>
                    <w:rPr>
                      <w:rFonts w:ascii="Humnst777 BT" w:hAnsi="Humnst777 BT" w:cs="Calibri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 w:cs="Calibri"/>
                      <w:b/>
                      <w:sz w:val="20"/>
                      <w:szCs w:val="22"/>
                    </w:rPr>
                    <w:t>Deciding &amp; Initiating Action</w:t>
                  </w:r>
                </w:p>
                <w:p w14:paraId="1950D63D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Makes prompt, clear decisions which may involve tough choices or considered risks </w:t>
                  </w:r>
                </w:p>
                <w:p w14:paraId="4D37A778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Takes responsibility for actions, projects and people</w:t>
                  </w:r>
                </w:p>
                <w:p w14:paraId="6B20811B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Takes initiative and acts with confidence </w:t>
                  </w:r>
                </w:p>
                <w:p w14:paraId="5905D2D5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Initiates and generates activity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4F76101E" w14:textId="77777777" w:rsidR="00EC4F4A" w:rsidRPr="000B77B3" w:rsidRDefault="00EC4F4A" w:rsidP="006C572A">
                  <w:pPr>
                    <w:rPr>
                      <w:rFonts w:ascii="Humnst777 BT" w:hAnsi="Humnst777 BT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/>
                      <w:b/>
                      <w:sz w:val="20"/>
                      <w:szCs w:val="22"/>
                    </w:rPr>
                    <w:t>Leading &amp; Supervising</w:t>
                  </w:r>
                </w:p>
                <w:p w14:paraId="7F552776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Provides others with a clear direction </w:t>
                  </w:r>
                </w:p>
                <w:p w14:paraId="00D7CE89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Sets appropriate standards of behaviour </w:t>
                  </w:r>
                </w:p>
                <w:p w14:paraId="721B0A33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Delegates work appropriately and fairly</w:t>
                  </w:r>
                </w:p>
                <w:p w14:paraId="12633BB8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Motivates and empowers others</w:t>
                  </w:r>
                </w:p>
                <w:p w14:paraId="03F6C429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Provides staff with development opportunities and coaching</w:t>
                  </w:r>
                </w:p>
                <w:p w14:paraId="2CD002DB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Recruits staff of a high calibre</w:t>
                  </w:r>
                </w:p>
              </w:tc>
            </w:tr>
            <w:tr w:rsidR="00EC4F4A" w:rsidRPr="00EC4F4A" w14:paraId="664A0ECB" w14:textId="77777777" w:rsidTr="006C572A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7F42DE59" w14:textId="77777777" w:rsidR="00EC4F4A" w:rsidRPr="000B77B3" w:rsidRDefault="00EC4F4A" w:rsidP="006C572A">
                  <w:pPr>
                    <w:rPr>
                      <w:rFonts w:ascii="Humnst777 BT" w:hAnsi="Humnst777 BT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/>
                      <w:b/>
                      <w:sz w:val="20"/>
                      <w:szCs w:val="22"/>
                    </w:rPr>
                    <w:t>Persuading &amp; Influencing</w:t>
                  </w:r>
                </w:p>
                <w:p w14:paraId="4358E7B4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Makes a strong personal impression on others</w:t>
                  </w:r>
                </w:p>
                <w:p w14:paraId="44BDC978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Gains clear agreement and commitment from others by persuading, convincing and negotiating</w:t>
                  </w:r>
                </w:p>
                <w:p w14:paraId="3FE6DBB5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Promotes ideas on behalf of self or others</w:t>
                  </w:r>
                </w:p>
                <w:p w14:paraId="168783CD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 w:cs="Calibri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67D8092A" w14:textId="77777777" w:rsidR="00EC4F4A" w:rsidRPr="000B77B3" w:rsidRDefault="00EC4F4A" w:rsidP="006C572A">
                  <w:pPr>
                    <w:rPr>
                      <w:rFonts w:ascii="Humnst777 BT" w:hAnsi="Humnst777 BT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/>
                      <w:b/>
                      <w:sz w:val="20"/>
                      <w:szCs w:val="22"/>
                    </w:rPr>
                    <w:t>Delivering Results &amp; Meeting Customer Expectations</w:t>
                  </w:r>
                </w:p>
                <w:p w14:paraId="65E48B37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Focuses on customer needs and satisfaction</w:t>
                  </w:r>
                </w:p>
                <w:p w14:paraId="0BBD9998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Sets high standards for quality and quantity</w:t>
                  </w:r>
                </w:p>
                <w:p w14:paraId="03BA232E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Monitors and maintains quality and productivity</w:t>
                  </w:r>
                </w:p>
                <w:p w14:paraId="16E44FB7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Works in a systematic, methodical and orderly way </w:t>
                  </w:r>
                </w:p>
                <w:p w14:paraId="4FD2D534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 w:cs="Calibri"/>
                      <w:b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Consistently achieves project goals. </w:t>
                  </w:r>
                </w:p>
              </w:tc>
            </w:tr>
            <w:tr w:rsidR="00EC4F4A" w:rsidRPr="00EC4F4A" w14:paraId="75D7966A" w14:textId="77777777" w:rsidTr="006C572A">
              <w:tc>
                <w:tcPr>
                  <w:tcW w:w="4652" w:type="dxa"/>
                  <w:shd w:val="clear" w:color="auto" w:fill="auto"/>
                </w:tcPr>
                <w:p w14:paraId="422678F5" w14:textId="77777777" w:rsidR="00EC4F4A" w:rsidRPr="000B77B3" w:rsidRDefault="00EC4F4A" w:rsidP="006C572A">
                  <w:pPr>
                    <w:rPr>
                      <w:rFonts w:ascii="Humnst777 BT" w:hAnsi="Humnst777 BT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/>
                      <w:b/>
                      <w:sz w:val="20"/>
                      <w:szCs w:val="22"/>
                    </w:rPr>
                    <w:t>Applying Expertise &amp; Technology</w:t>
                  </w:r>
                </w:p>
                <w:p w14:paraId="58FB2878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Applies specialist and detailed technical expertise</w:t>
                  </w:r>
                </w:p>
                <w:p w14:paraId="364C58CA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Develops job knowledge and expertise through continual professional development</w:t>
                  </w:r>
                </w:p>
                <w:p w14:paraId="29F70504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Shares expertise and knowledge with others</w:t>
                  </w:r>
                </w:p>
                <w:p w14:paraId="048836CF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Uses technology to achieve work objectives</w:t>
                  </w:r>
                </w:p>
                <w:p w14:paraId="78AB5A32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Demonstrates appropriate physical co-ordination and endurance, manual skill, spatial awareness and dexterity</w:t>
                  </w:r>
                </w:p>
                <w:p w14:paraId="60B01671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lastRenderedPageBreak/>
                    <w:t>Demonstrates an understanding of different organisational departments and functions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5E59C4A4" w14:textId="77777777" w:rsidR="00EC4F4A" w:rsidRPr="000B77B3" w:rsidRDefault="00EC4F4A" w:rsidP="006C572A">
                  <w:pPr>
                    <w:rPr>
                      <w:rFonts w:ascii="Humnst777 BT" w:hAnsi="Humnst777 BT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/>
                      <w:b/>
                      <w:sz w:val="20"/>
                      <w:szCs w:val="22"/>
                    </w:rPr>
                    <w:lastRenderedPageBreak/>
                    <w:t>Coping with Pressures &amp; Setbacks</w:t>
                  </w:r>
                </w:p>
                <w:p w14:paraId="34D9AE61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Works productively in a pressurised environment</w:t>
                  </w:r>
                </w:p>
                <w:p w14:paraId="1E03A12C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Keeps emotions under control during difficult situations </w:t>
                  </w:r>
                </w:p>
                <w:p w14:paraId="0C4AD7F9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Balances the demands of a work life and a personal life. </w:t>
                  </w:r>
                </w:p>
                <w:p w14:paraId="2E4C2DC5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Maintains a positive outlook at work. </w:t>
                  </w:r>
                </w:p>
                <w:p w14:paraId="3B84AEE4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Handles criticism well and learns from it.</w:t>
                  </w:r>
                </w:p>
                <w:p w14:paraId="6C362FE0" w14:textId="77777777" w:rsidR="00EC4F4A" w:rsidRPr="000B77B3" w:rsidRDefault="00EC4F4A" w:rsidP="006C572A">
                  <w:pPr>
                    <w:rPr>
                      <w:rFonts w:ascii="Humnst777 BT" w:hAnsi="Humnst777 BT" w:cs="Calibri"/>
                      <w:b/>
                      <w:sz w:val="20"/>
                      <w:szCs w:val="22"/>
                    </w:rPr>
                  </w:pPr>
                </w:p>
              </w:tc>
            </w:tr>
          </w:tbl>
          <w:p w14:paraId="6AB24C07" w14:textId="77777777" w:rsidR="00EC4F4A" w:rsidRPr="00EC4F4A" w:rsidRDefault="00EC4F4A" w:rsidP="006C572A">
            <w:pPr>
              <w:rPr>
                <w:rFonts w:cs="Calibri"/>
                <w:color w:val="000000"/>
                <w:sz w:val="20"/>
                <w:szCs w:val="22"/>
              </w:rPr>
            </w:pPr>
          </w:p>
        </w:tc>
      </w:tr>
      <w:tr w:rsidR="00EC4F4A" w:rsidRPr="00EC4F4A" w14:paraId="6267724B" w14:textId="77777777" w:rsidTr="00EC4F4A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FD2" w14:textId="77777777" w:rsidR="00EC4F4A" w:rsidRPr="00EC4F4A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Skills and Qualifications:</w:t>
            </w:r>
          </w:p>
          <w:p w14:paraId="65394114" w14:textId="77777777" w:rsidR="00EC4F4A" w:rsidRPr="00EC4F4A" w:rsidRDefault="00EC4F4A" w:rsidP="006C572A">
            <w:pPr>
              <w:pStyle w:val="NoSpacing"/>
              <w:jc w:val="both"/>
              <w:rPr>
                <w:rFonts w:ascii="Source Sans Pro" w:hAnsi="Source Sans Pro" w:cs="Calibri"/>
                <w:color w:val="000000"/>
                <w:u w:val="single"/>
              </w:rPr>
            </w:pPr>
            <w:r w:rsidRPr="00EC4F4A">
              <w:rPr>
                <w:rFonts w:ascii="Source Sans Pro" w:hAnsi="Source Sans Pro" w:cs="Calibri"/>
                <w:color w:val="000000"/>
                <w:u w:val="single"/>
              </w:rPr>
              <w:t>Essential:</w:t>
            </w:r>
          </w:p>
          <w:p w14:paraId="3696B995" w14:textId="4CCEEA6B" w:rsidR="00722FF7" w:rsidRPr="00503EC1" w:rsidRDefault="00722FF7" w:rsidP="00722FF7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503EC1">
              <w:rPr>
                <w:rFonts w:cs="Calibri"/>
                <w:sz w:val="22"/>
                <w:szCs w:val="22"/>
              </w:rPr>
              <w:t>Experience and extensive understanding of all channels of the AU liquor industry: Route to Market, Field Sales and National Customers</w:t>
            </w:r>
            <w:r w:rsidR="00957075">
              <w:rPr>
                <w:rFonts w:cs="Calibri"/>
                <w:sz w:val="22"/>
                <w:szCs w:val="22"/>
              </w:rPr>
              <w:t>.</w:t>
            </w:r>
          </w:p>
          <w:p w14:paraId="4F5A6AAF" w14:textId="778682FD" w:rsidR="00722FF7" w:rsidRPr="00503EC1" w:rsidRDefault="00722FF7" w:rsidP="00722FF7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503EC1">
              <w:rPr>
                <w:rFonts w:cs="Calibri"/>
                <w:sz w:val="22"/>
                <w:szCs w:val="22"/>
              </w:rPr>
              <w:t>An experienced sale professional, with a high level of commercial experience understanding all P</w:t>
            </w:r>
            <w:r w:rsidR="00957075">
              <w:rPr>
                <w:rFonts w:cs="Calibri"/>
                <w:sz w:val="22"/>
                <w:szCs w:val="22"/>
              </w:rPr>
              <w:t xml:space="preserve">rofit </w:t>
            </w:r>
            <w:r w:rsidRPr="00503EC1">
              <w:rPr>
                <w:rFonts w:cs="Calibri"/>
                <w:sz w:val="22"/>
                <w:szCs w:val="22"/>
              </w:rPr>
              <w:t>&amp;</w:t>
            </w:r>
            <w:r w:rsidR="00957075">
              <w:rPr>
                <w:rFonts w:cs="Calibri"/>
                <w:sz w:val="22"/>
                <w:szCs w:val="22"/>
              </w:rPr>
              <w:t xml:space="preserve"> </w:t>
            </w:r>
            <w:r w:rsidRPr="00503EC1">
              <w:rPr>
                <w:rFonts w:cs="Calibri"/>
                <w:sz w:val="22"/>
                <w:szCs w:val="22"/>
              </w:rPr>
              <w:t>L</w:t>
            </w:r>
            <w:r w:rsidR="00957075">
              <w:rPr>
                <w:rFonts w:cs="Calibri"/>
                <w:sz w:val="22"/>
                <w:szCs w:val="22"/>
              </w:rPr>
              <w:t>oss</w:t>
            </w:r>
            <w:r w:rsidRPr="00503EC1">
              <w:rPr>
                <w:rFonts w:cs="Calibri"/>
                <w:sz w:val="22"/>
                <w:szCs w:val="22"/>
              </w:rPr>
              <w:t xml:space="preserve"> responsibilities. </w:t>
            </w:r>
          </w:p>
          <w:p w14:paraId="5ABBA872" w14:textId="77777777" w:rsidR="00722FF7" w:rsidRPr="00503EC1" w:rsidRDefault="00722FF7" w:rsidP="00722FF7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503EC1">
              <w:rPr>
                <w:rFonts w:cs="Calibri"/>
                <w:sz w:val="22"/>
                <w:szCs w:val="22"/>
              </w:rPr>
              <w:t xml:space="preserve">Commercially focused, with analytical &amp; strong problem solving skills; with the ability to identify and optimise commercial opportunities. </w:t>
            </w:r>
          </w:p>
          <w:p w14:paraId="6C39F454" w14:textId="7E5C24B5" w:rsidR="00722FF7" w:rsidRPr="00503EC1" w:rsidRDefault="00722FF7" w:rsidP="00722FF7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503EC1">
              <w:rPr>
                <w:rFonts w:cs="Calibri"/>
                <w:sz w:val="22"/>
                <w:szCs w:val="22"/>
              </w:rPr>
              <w:t>Effective budget management skills, with high executional standards and attention to detail</w:t>
            </w:r>
            <w:r w:rsidR="00957075">
              <w:rPr>
                <w:rFonts w:cs="Calibri"/>
                <w:sz w:val="22"/>
                <w:szCs w:val="22"/>
              </w:rPr>
              <w:t>.</w:t>
            </w:r>
          </w:p>
          <w:p w14:paraId="065F2F55" w14:textId="77777777" w:rsidR="00722FF7" w:rsidRPr="00503EC1" w:rsidRDefault="00722FF7" w:rsidP="00722FF7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503EC1">
              <w:rPr>
                <w:rFonts w:cs="Calibri"/>
                <w:sz w:val="22"/>
                <w:szCs w:val="22"/>
              </w:rPr>
              <w:t>Ability to be adaptable and manage a demanding workload with a wide portfolio of accounts, prioritising effectively.</w:t>
            </w:r>
          </w:p>
          <w:p w14:paraId="0CA78A40" w14:textId="77777777" w:rsidR="00722FF7" w:rsidRPr="00503EC1" w:rsidRDefault="00722FF7" w:rsidP="00722FF7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503EC1">
              <w:rPr>
                <w:rFonts w:cs="Calibri"/>
                <w:sz w:val="22"/>
                <w:szCs w:val="22"/>
              </w:rPr>
              <w:t xml:space="preserve">Creative with an entrepreneurial spirit; to be someone who can effect positive change. </w:t>
            </w:r>
          </w:p>
          <w:p w14:paraId="015806D4" w14:textId="77777777" w:rsidR="00EC4F4A" w:rsidRDefault="00EC4F4A" w:rsidP="006C572A">
            <w:pPr>
              <w:pStyle w:val="NoSpacing"/>
              <w:jc w:val="both"/>
              <w:rPr>
                <w:rFonts w:ascii="Source Sans Pro" w:hAnsi="Source Sans Pro" w:cs="Calibri"/>
                <w:u w:val="single"/>
              </w:rPr>
            </w:pPr>
          </w:p>
          <w:p w14:paraId="0D99DAB1" w14:textId="2B85D74F" w:rsidR="00EC4F4A" w:rsidRPr="00EC4F4A" w:rsidRDefault="00EC4F4A" w:rsidP="00957075">
            <w:pPr>
              <w:pStyle w:val="NoSpacing"/>
              <w:jc w:val="both"/>
              <w:rPr>
                <w:rFonts w:ascii="Source Sans Pro" w:hAnsi="Source Sans Pro" w:cs="Calibri"/>
                <w:color w:val="000000"/>
              </w:rPr>
            </w:pPr>
          </w:p>
        </w:tc>
      </w:tr>
      <w:tr w:rsidR="008D65A4" w:rsidRPr="00EC4F4A" w14:paraId="6720F09F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B7F" w14:textId="77777777" w:rsidR="008D65A4" w:rsidRPr="000B77B3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B77B3">
              <w:rPr>
                <w:rFonts w:cs="Calibri"/>
                <w:b/>
                <w:bCs/>
                <w:sz w:val="22"/>
                <w:szCs w:val="22"/>
              </w:rPr>
              <w:t>Created by: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158" w14:textId="7272C906" w:rsidR="008D65A4" w:rsidRPr="00EC4F4A" w:rsidRDefault="003B2088" w:rsidP="003A17D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Mark </w:t>
            </w:r>
          </w:p>
        </w:tc>
      </w:tr>
      <w:tr w:rsidR="008D65A4" w:rsidRPr="00EC4F4A" w14:paraId="0B5A5424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F414" w14:textId="77777777" w:rsidR="008D65A4" w:rsidRPr="000B77B3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B77B3">
              <w:rPr>
                <w:rFonts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7D2" w14:textId="5CF8E6C3" w:rsidR="008D65A4" w:rsidRPr="00EC4F4A" w:rsidRDefault="00722FF7" w:rsidP="003A17D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January 202</w:t>
            </w:r>
            <w:r w:rsidR="006D0E64">
              <w:rPr>
                <w:rFonts w:cs="Calibri"/>
                <w:sz w:val="22"/>
                <w:szCs w:val="22"/>
              </w:rPr>
              <w:t>5</w:t>
            </w:r>
          </w:p>
        </w:tc>
      </w:tr>
      <w:tr w:rsidR="008D65A4" w:rsidRPr="00EC4F4A" w14:paraId="6A203CE9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C2E" w14:textId="77777777" w:rsidR="008D65A4" w:rsidRPr="000B77B3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B77B3">
              <w:rPr>
                <w:rFonts w:cs="Calibri"/>
                <w:b/>
                <w:bCs/>
                <w:sz w:val="22"/>
                <w:szCs w:val="22"/>
              </w:rPr>
              <w:t>HRBP: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5E7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</w:p>
        </w:tc>
      </w:tr>
      <w:tr w:rsidR="008D65A4" w:rsidRPr="00EC4F4A" w14:paraId="2FBBDE16" w14:textId="77777777" w:rsidTr="00EC4F4A">
        <w:trPr>
          <w:trHeight w:val="73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95B" w14:textId="77777777" w:rsidR="008D65A4" w:rsidRPr="000B77B3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B77B3">
              <w:rPr>
                <w:rFonts w:cs="Calibri"/>
                <w:b/>
                <w:bCs/>
                <w:sz w:val="22"/>
                <w:szCs w:val="22"/>
              </w:rPr>
              <w:t>Date of last revision: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BC8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24E622CF" w14:textId="77777777" w:rsidR="007A5916" w:rsidRPr="00EC4F4A" w:rsidRDefault="007A5916">
      <w:pPr>
        <w:rPr>
          <w:sz w:val="22"/>
          <w:szCs w:val="22"/>
        </w:rPr>
      </w:pPr>
    </w:p>
    <w:sectPr w:rsidR="007A5916" w:rsidRPr="00EC4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045FB"/>
    <w:multiLevelType w:val="hybridMultilevel"/>
    <w:tmpl w:val="FE5C9904"/>
    <w:lvl w:ilvl="0" w:tplc="FAB473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A4B19"/>
    <w:multiLevelType w:val="hybridMultilevel"/>
    <w:tmpl w:val="ABBE3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F1CEA"/>
    <w:multiLevelType w:val="hybridMultilevel"/>
    <w:tmpl w:val="F9642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3109FE"/>
    <w:multiLevelType w:val="hybridMultilevel"/>
    <w:tmpl w:val="FED49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584627">
    <w:abstractNumId w:val="10"/>
  </w:num>
  <w:num w:numId="2" w16cid:durableId="20909371">
    <w:abstractNumId w:val="0"/>
  </w:num>
  <w:num w:numId="3" w16cid:durableId="1532717457">
    <w:abstractNumId w:val="7"/>
  </w:num>
  <w:num w:numId="4" w16cid:durableId="1426413413">
    <w:abstractNumId w:val="4"/>
  </w:num>
  <w:num w:numId="5" w16cid:durableId="1946884569">
    <w:abstractNumId w:val="1"/>
  </w:num>
  <w:num w:numId="6" w16cid:durableId="1512062203">
    <w:abstractNumId w:val="6"/>
  </w:num>
  <w:num w:numId="7" w16cid:durableId="976185571">
    <w:abstractNumId w:val="11"/>
  </w:num>
  <w:num w:numId="8" w16cid:durableId="2098599011">
    <w:abstractNumId w:val="9"/>
  </w:num>
  <w:num w:numId="9" w16cid:durableId="1994405113">
    <w:abstractNumId w:val="2"/>
  </w:num>
  <w:num w:numId="10" w16cid:durableId="2081438972">
    <w:abstractNumId w:val="5"/>
  </w:num>
  <w:num w:numId="11" w16cid:durableId="1630283291">
    <w:abstractNumId w:val="8"/>
  </w:num>
  <w:num w:numId="12" w16cid:durableId="1019938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B77B3"/>
    <w:rsid w:val="001F41EE"/>
    <w:rsid w:val="002016F7"/>
    <w:rsid w:val="003B2088"/>
    <w:rsid w:val="005D36D7"/>
    <w:rsid w:val="00645F29"/>
    <w:rsid w:val="00696AA1"/>
    <w:rsid w:val="006D0E64"/>
    <w:rsid w:val="006D5829"/>
    <w:rsid w:val="00722FF7"/>
    <w:rsid w:val="0078308C"/>
    <w:rsid w:val="007A5916"/>
    <w:rsid w:val="00815BE4"/>
    <w:rsid w:val="008A7B59"/>
    <w:rsid w:val="008D65A4"/>
    <w:rsid w:val="009228A9"/>
    <w:rsid w:val="00957075"/>
    <w:rsid w:val="00976A20"/>
    <w:rsid w:val="00B541BB"/>
    <w:rsid w:val="00B557CF"/>
    <w:rsid w:val="00BB636D"/>
    <w:rsid w:val="00CF2016"/>
    <w:rsid w:val="00DC6A19"/>
    <w:rsid w:val="00EC4F4A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EC4F4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2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9FAA0-A3C1-473E-A6B1-F43E8695C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52F607-E940-4EED-AA1D-4E2A1EAD7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D568F-EF2B-4558-9AF1-8DB6E2222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dcterms:created xsi:type="dcterms:W3CDTF">2025-05-20T07:19:00Z</dcterms:created>
  <dcterms:modified xsi:type="dcterms:W3CDTF">2025-05-20T07:19:00Z</dcterms:modified>
</cp:coreProperties>
</file>