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Title</w:t>
            </w:r>
          </w:p>
        </w:tc>
        <w:tc>
          <w:tcPr>
            <w:tcW w:w="6730" w:type="dxa"/>
            <w:tcBorders>
              <w:top w:val="single" w:sz="4" w:space="0" w:color="767171"/>
            </w:tcBorders>
            <w:shd w:val="clear" w:color="auto" w:fill="auto"/>
          </w:tcPr>
          <w:p w14:paraId="4240E3E1" w14:textId="06C8DA46" w:rsidR="002775AB" w:rsidRPr="002775AB" w:rsidRDefault="009922A7" w:rsidP="00BC5412">
            <w:pPr>
              <w:pStyle w:val="NoSpacing"/>
              <w:rPr>
                <w:rFonts w:ascii="Source Sans Pro" w:hAnsi="Source Sans Pro" w:cs="Calibri"/>
                <w:b/>
                <w:color w:val="000000"/>
              </w:rPr>
            </w:pPr>
            <w:r>
              <w:rPr>
                <w:rFonts w:ascii="Source Sans Pro" w:hAnsi="Source Sans Pro" w:cs="Calibri"/>
                <w:b/>
                <w:color w:val="000000"/>
              </w:rPr>
              <w:t xml:space="preserve">Finance </w:t>
            </w:r>
            <w:r w:rsidR="002559BA">
              <w:rPr>
                <w:rFonts w:ascii="Source Sans Pro" w:hAnsi="Source Sans Pro" w:cs="Calibri"/>
                <w:b/>
                <w:color w:val="000000"/>
              </w:rPr>
              <w:t>Analyst</w:t>
            </w:r>
            <w:r>
              <w:rPr>
                <w:rFonts w:ascii="Source Sans Pro" w:hAnsi="Source Sans Pro" w:cs="Calibri"/>
                <w:b/>
                <w:color w:val="000000"/>
              </w:rPr>
              <w:t xml:space="preserve">– </w:t>
            </w:r>
            <w:r w:rsidR="001C6D18">
              <w:rPr>
                <w:rFonts w:ascii="Source Sans Pro" w:hAnsi="Source Sans Pro" w:cs="Calibri"/>
                <w:b/>
                <w:color w:val="000000"/>
              </w:rPr>
              <w:t>BBU FP&amp;</w:t>
            </w:r>
            <w:r w:rsidR="00BC5412">
              <w:rPr>
                <w:rFonts w:ascii="Source Sans Pro" w:hAnsi="Source Sans Pro" w:cs="Calibri"/>
                <w:b/>
                <w:color w:val="000000"/>
              </w:rPr>
              <w:t>A</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475051D5" w:rsidR="002775AB" w:rsidRPr="002775AB" w:rsidRDefault="009922A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290D512D" w:rsidR="002775AB" w:rsidRPr="002775AB" w:rsidRDefault="001C6D18" w:rsidP="00BC5412">
            <w:pPr>
              <w:pStyle w:val="NoSpacing"/>
              <w:rPr>
                <w:rFonts w:ascii="Source Sans Pro" w:hAnsi="Source Sans Pro" w:cs="Calibri"/>
                <w:color w:val="000000"/>
                <w:sz w:val="20"/>
                <w:szCs w:val="20"/>
              </w:rPr>
            </w:pPr>
            <w:r>
              <w:rPr>
                <w:rFonts w:ascii="Source Sans Pro" w:hAnsi="Source Sans Pro" w:cs="Calibri"/>
                <w:color w:val="000000"/>
                <w:sz w:val="20"/>
                <w:szCs w:val="20"/>
              </w:rPr>
              <w:t>BBU FP&amp;</w:t>
            </w:r>
            <w:r w:rsidR="00BC5412">
              <w:rPr>
                <w:rFonts w:ascii="Source Sans Pro" w:hAnsi="Source Sans Pro" w:cs="Calibri"/>
                <w:color w:val="000000"/>
                <w:sz w:val="20"/>
                <w:szCs w:val="20"/>
              </w:rPr>
              <w:t>A</w:t>
            </w:r>
          </w:p>
        </w:tc>
      </w:tr>
      <w:tr w:rsidR="002775AB" w:rsidRPr="002775AB" w14:paraId="04BE2187" w14:textId="77777777" w:rsidTr="00D533DB">
        <w:trPr>
          <w:trHeight w:val="249"/>
        </w:trPr>
        <w:tc>
          <w:tcPr>
            <w:tcW w:w="2972" w:type="dxa"/>
            <w:shd w:val="clear" w:color="auto" w:fill="auto"/>
          </w:tcPr>
          <w:p w14:paraId="4F0528B1"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5E6A7F9A" w:rsidR="002775AB" w:rsidRPr="002775AB" w:rsidRDefault="009922A7" w:rsidP="0029489A">
            <w:pPr>
              <w:pStyle w:val="NoSpacing"/>
              <w:rPr>
                <w:rFonts w:ascii="Source Sans Pro" w:hAnsi="Source Sans Pro" w:cs="Calibri"/>
                <w:color w:val="000000"/>
                <w:sz w:val="20"/>
                <w:szCs w:val="20"/>
              </w:rPr>
            </w:pPr>
            <w:r>
              <w:rPr>
                <w:rFonts w:ascii="Source Sans Pro" w:hAnsi="Source Sans Pro" w:cs="Calibri"/>
                <w:color w:val="000000"/>
                <w:sz w:val="20"/>
                <w:szCs w:val="20"/>
              </w:rPr>
              <w:t xml:space="preserve">Richmond </w:t>
            </w:r>
          </w:p>
        </w:tc>
      </w:tr>
      <w:tr w:rsidR="002775AB" w:rsidRPr="002775AB" w14:paraId="14CC717C" w14:textId="77777777" w:rsidTr="00D533DB">
        <w:trPr>
          <w:trHeight w:val="249"/>
        </w:trPr>
        <w:tc>
          <w:tcPr>
            <w:tcW w:w="2972" w:type="dxa"/>
            <w:shd w:val="clear" w:color="auto" w:fill="auto"/>
          </w:tcPr>
          <w:p w14:paraId="0D18E06F" w14:textId="7DB861FE"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p>
        </w:tc>
        <w:tc>
          <w:tcPr>
            <w:tcW w:w="6730" w:type="dxa"/>
            <w:shd w:val="clear" w:color="auto" w:fill="auto"/>
          </w:tcPr>
          <w:p w14:paraId="0E66B222" w14:textId="162F495E" w:rsidR="002775AB" w:rsidRPr="002775AB" w:rsidRDefault="001C6D18"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Financial Controller, BBU</w:t>
            </w:r>
          </w:p>
        </w:tc>
      </w:tr>
      <w:tr w:rsidR="002775AB" w:rsidRPr="002775AB" w14:paraId="48AAFCFC" w14:textId="77777777" w:rsidTr="00D533DB">
        <w:trPr>
          <w:trHeight w:val="249"/>
        </w:trPr>
        <w:tc>
          <w:tcPr>
            <w:tcW w:w="2972" w:type="dxa"/>
            <w:shd w:val="clear" w:color="auto" w:fill="auto"/>
          </w:tcPr>
          <w:p w14:paraId="022A5F31" w14:textId="0CDBD6D7"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Team Members</w:t>
            </w:r>
          </w:p>
        </w:tc>
        <w:tc>
          <w:tcPr>
            <w:tcW w:w="6730" w:type="dxa"/>
            <w:shd w:val="clear" w:color="auto" w:fill="auto"/>
          </w:tcPr>
          <w:p w14:paraId="2E9296AB" w14:textId="044BAE59" w:rsidR="002775AB" w:rsidRPr="002775AB" w:rsidRDefault="009922A7" w:rsidP="009922A7">
            <w:pPr>
              <w:pStyle w:val="NoSpacing"/>
              <w:rPr>
                <w:rFonts w:ascii="Source Sans Pro" w:hAnsi="Source Sans Pro" w:cs="Calibri"/>
                <w:color w:val="000000"/>
                <w:sz w:val="20"/>
                <w:szCs w:val="20"/>
              </w:rPr>
            </w:pPr>
            <w:r>
              <w:rPr>
                <w:rFonts w:ascii="Source Sans Pro" w:hAnsi="Source Sans Pro" w:cs="Calibri"/>
                <w:color w:val="000000"/>
                <w:sz w:val="20"/>
                <w:szCs w:val="20"/>
              </w:rPr>
              <w:t>N/A</w:t>
            </w:r>
          </w:p>
        </w:tc>
      </w:tr>
      <w:tr w:rsidR="002775AB" w:rsidRPr="002775AB" w14:paraId="56683D6C" w14:textId="77777777" w:rsidTr="00D533DB">
        <w:trPr>
          <w:trHeight w:val="249"/>
        </w:trPr>
        <w:tc>
          <w:tcPr>
            <w:tcW w:w="2972" w:type="dxa"/>
            <w:shd w:val="clear" w:color="auto" w:fill="auto"/>
          </w:tcPr>
          <w:p w14:paraId="62B81860"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Job Level</w:t>
            </w:r>
          </w:p>
        </w:tc>
        <w:tc>
          <w:tcPr>
            <w:tcW w:w="6730" w:type="dxa"/>
            <w:shd w:val="clear" w:color="auto" w:fill="auto"/>
          </w:tcPr>
          <w:p w14:paraId="4B8C09FE" w14:textId="5F6F2B1E" w:rsidR="002775AB" w:rsidRPr="002775AB" w:rsidRDefault="009922A7" w:rsidP="002559BA">
            <w:pPr>
              <w:pStyle w:val="NoSpacing"/>
              <w:rPr>
                <w:rFonts w:ascii="Source Sans Pro" w:hAnsi="Source Sans Pro" w:cs="Calibri"/>
                <w:color w:val="000000"/>
                <w:sz w:val="20"/>
                <w:szCs w:val="20"/>
              </w:rPr>
            </w:pPr>
            <w:r>
              <w:rPr>
                <w:rFonts w:ascii="Source Sans Pro" w:hAnsi="Source Sans Pro" w:cs="Calibri"/>
                <w:color w:val="000000"/>
                <w:sz w:val="20"/>
                <w:szCs w:val="20"/>
              </w:rPr>
              <w:t>4</w:t>
            </w:r>
            <w:r w:rsidR="002559BA">
              <w:rPr>
                <w:rFonts w:ascii="Source Sans Pro" w:hAnsi="Source Sans Pro" w:cs="Calibri"/>
                <w:color w:val="000000"/>
                <w:sz w:val="20"/>
                <w:szCs w:val="20"/>
              </w:rPr>
              <w:t>B</w:t>
            </w:r>
          </w:p>
        </w:tc>
      </w:tr>
      <w:tr w:rsidR="002775AB" w:rsidRPr="002775AB" w14:paraId="3EB5510C" w14:textId="77777777" w:rsidTr="00D533DB">
        <w:trPr>
          <w:trHeight w:val="1198"/>
        </w:trPr>
        <w:tc>
          <w:tcPr>
            <w:tcW w:w="9702" w:type="dxa"/>
            <w:gridSpan w:val="2"/>
            <w:shd w:val="clear" w:color="auto" w:fill="auto"/>
          </w:tcPr>
          <w:p w14:paraId="7DE7B5D1" w14:textId="66055FF8" w:rsidR="00AF6943" w:rsidRPr="009922A7" w:rsidRDefault="002775AB" w:rsidP="009922A7">
            <w:pPr>
              <w:pStyle w:val="NoSpacing"/>
              <w:spacing w:before="120"/>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83F875C" w14:textId="3A3871AF" w:rsidR="001C6D18" w:rsidRDefault="001C6D18"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 xml:space="preserve">To provide financial analysis and insight on key BBU initiatives across the business unit. </w:t>
            </w:r>
            <w:r w:rsidR="00861334">
              <w:rPr>
                <w:rFonts w:ascii="Source Sans Pro" w:hAnsi="Source Sans Pro" w:cs="Calibri"/>
                <w:color w:val="000000"/>
                <w:sz w:val="20"/>
                <w:szCs w:val="20"/>
              </w:rPr>
              <w:t xml:space="preserve">Maintain key databases and ensure data integrity. </w:t>
            </w:r>
          </w:p>
          <w:p w14:paraId="70987AFD" w14:textId="0B43D943" w:rsidR="002559BA" w:rsidRDefault="002559BA"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To produce and provide</w:t>
            </w:r>
            <w:r w:rsidRPr="002559BA">
              <w:rPr>
                <w:rFonts w:ascii="Source Sans Pro" w:hAnsi="Source Sans Pro" w:cs="Calibri"/>
                <w:color w:val="000000"/>
                <w:sz w:val="20"/>
                <w:szCs w:val="20"/>
              </w:rPr>
              <w:t xml:space="preserve"> high quality analysis of </w:t>
            </w:r>
            <w:r>
              <w:rPr>
                <w:rFonts w:ascii="Source Sans Pro" w:hAnsi="Source Sans Pro" w:cs="Calibri"/>
                <w:color w:val="000000"/>
                <w:sz w:val="20"/>
                <w:szCs w:val="20"/>
              </w:rPr>
              <w:t>m</w:t>
            </w:r>
            <w:r w:rsidRPr="002559BA">
              <w:rPr>
                <w:rFonts w:ascii="Source Sans Pro" w:hAnsi="Source Sans Pro" w:cs="Calibri"/>
                <w:color w:val="000000"/>
                <w:sz w:val="20"/>
                <w:szCs w:val="20"/>
              </w:rPr>
              <w:t>onthly business performance, preparing financial models and assisting in the global consolidation of forecasting, budgeting, long range plans and processing other ad hoc requests which arise within the Global BBU FP&amp;</w:t>
            </w:r>
            <w:r w:rsidR="00BC5412">
              <w:rPr>
                <w:rFonts w:ascii="Source Sans Pro" w:hAnsi="Source Sans Pro" w:cs="Calibri"/>
                <w:color w:val="000000"/>
                <w:sz w:val="20"/>
                <w:szCs w:val="20"/>
              </w:rPr>
              <w:t>A</w:t>
            </w:r>
            <w:r w:rsidRPr="002559BA">
              <w:rPr>
                <w:rFonts w:ascii="Source Sans Pro" w:hAnsi="Source Sans Pro" w:cs="Calibri"/>
                <w:color w:val="000000"/>
                <w:sz w:val="20"/>
                <w:szCs w:val="20"/>
              </w:rPr>
              <w:t xml:space="preserve"> team.</w:t>
            </w:r>
          </w:p>
          <w:p w14:paraId="2F404C02" w14:textId="19E347A8" w:rsidR="001C6D18" w:rsidRDefault="001C6D18" w:rsidP="009922A7">
            <w:pPr>
              <w:pStyle w:val="NoSpacing"/>
              <w:spacing w:before="120"/>
              <w:rPr>
                <w:rFonts w:ascii="Source Sans Pro" w:hAnsi="Source Sans Pro" w:cs="Calibri"/>
                <w:color w:val="000000"/>
                <w:sz w:val="20"/>
                <w:szCs w:val="20"/>
              </w:rPr>
            </w:pPr>
            <w:r>
              <w:rPr>
                <w:rFonts w:ascii="Source Sans Pro" w:hAnsi="Source Sans Pro" w:cs="Calibri"/>
                <w:color w:val="000000"/>
                <w:sz w:val="20"/>
                <w:szCs w:val="20"/>
              </w:rPr>
              <w:t xml:space="preserve">To </w:t>
            </w:r>
            <w:r w:rsidR="00861334">
              <w:rPr>
                <w:rFonts w:ascii="Source Sans Pro" w:hAnsi="Source Sans Pro" w:cs="Calibri"/>
                <w:color w:val="000000"/>
                <w:sz w:val="20"/>
                <w:szCs w:val="20"/>
              </w:rPr>
              <w:t>produce B</w:t>
            </w:r>
            <w:r>
              <w:rPr>
                <w:rFonts w:ascii="Source Sans Pro" w:hAnsi="Source Sans Pro" w:cs="Calibri"/>
                <w:color w:val="000000"/>
                <w:sz w:val="20"/>
                <w:szCs w:val="20"/>
              </w:rPr>
              <w:t xml:space="preserve">BU reporting, ensuring a consistent and timely approach for monthly reports, budgets, LE and 5YP. </w:t>
            </w:r>
          </w:p>
          <w:p w14:paraId="0DC79F38" w14:textId="549FAF6D" w:rsidR="00AF6943" w:rsidRDefault="009922A7" w:rsidP="009922A7">
            <w:pPr>
              <w:pStyle w:val="NoSpacing"/>
              <w:spacing w:before="120"/>
              <w:rPr>
                <w:rFonts w:ascii="Source Sans Pro" w:hAnsi="Source Sans Pro" w:cs="Calibri"/>
                <w:bCs/>
                <w:sz w:val="20"/>
                <w:szCs w:val="20"/>
              </w:rPr>
            </w:pPr>
            <w:r w:rsidRPr="009922A7">
              <w:rPr>
                <w:rFonts w:ascii="Source Sans Pro" w:hAnsi="Source Sans Pro" w:cs="Calibri"/>
                <w:bCs/>
                <w:sz w:val="20"/>
                <w:szCs w:val="20"/>
              </w:rPr>
              <w:t xml:space="preserve">To provide analysis and insight and make recommendations to support decision making and the roll-out of key strategic, marketing and commercial decisions in the </w:t>
            </w:r>
            <w:r w:rsidR="001C6D18">
              <w:rPr>
                <w:rFonts w:ascii="Source Sans Pro" w:hAnsi="Source Sans Pro" w:cs="Calibri"/>
                <w:bCs/>
                <w:sz w:val="20"/>
                <w:szCs w:val="20"/>
              </w:rPr>
              <w:t>BU</w:t>
            </w:r>
            <w:r w:rsidRPr="009922A7">
              <w:rPr>
                <w:rFonts w:ascii="Source Sans Pro" w:hAnsi="Source Sans Pro" w:cs="Calibri"/>
                <w:bCs/>
                <w:sz w:val="20"/>
                <w:szCs w:val="20"/>
              </w:rPr>
              <w:t>.</w:t>
            </w:r>
          </w:p>
          <w:p w14:paraId="4B380219" w14:textId="594A2DB0" w:rsidR="009922A7" w:rsidRPr="004A2E53" w:rsidRDefault="009922A7" w:rsidP="009922A7">
            <w:pPr>
              <w:pStyle w:val="NoSpacing"/>
              <w:rPr>
                <w:rFonts w:ascii="Source Sans Pro SemiBold" w:hAnsi="Source Sans Pro SemiBold" w:cs="Calibri"/>
                <w:b/>
                <w:bCs/>
                <w:sz w:val="20"/>
                <w:szCs w:val="20"/>
              </w:rPr>
            </w:pPr>
          </w:p>
        </w:tc>
      </w:tr>
      <w:tr w:rsidR="002775AB" w:rsidRPr="002775AB" w14:paraId="4A8A80D4" w14:textId="77777777" w:rsidTr="009922A7">
        <w:trPr>
          <w:trHeight w:val="1379"/>
        </w:trPr>
        <w:tc>
          <w:tcPr>
            <w:tcW w:w="9702" w:type="dxa"/>
            <w:gridSpan w:val="2"/>
            <w:shd w:val="clear" w:color="auto" w:fill="auto"/>
          </w:tcPr>
          <w:p w14:paraId="12F5E2D4" w14:textId="7291B5F6" w:rsidR="009922A7" w:rsidRPr="009922A7" w:rsidRDefault="002775AB" w:rsidP="009922A7">
            <w:pPr>
              <w:pStyle w:val="NoSpacing"/>
              <w:rPr>
                <w:rFonts w:ascii="Source Sans Pro" w:hAnsi="Source Sans Pro" w:cs="Calibri"/>
                <w:b/>
                <w:bCs/>
                <w:sz w:val="20"/>
                <w:szCs w:val="20"/>
              </w:rPr>
            </w:pPr>
            <w:r w:rsidRPr="009922A7">
              <w:rPr>
                <w:rFonts w:ascii="Source Sans Pro" w:hAnsi="Source Sans Pro" w:cs="Calibri"/>
                <w:b/>
                <w:bCs/>
                <w:sz w:val="20"/>
                <w:szCs w:val="20"/>
              </w:rPr>
              <w:t>Accountabilities</w:t>
            </w:r>
          </w:p>
          <w:p w14:paraId="55C7B460" w14:textId="10756EED" w:rsid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Responsible for the monthly management accounting </w:t>
            </w:r>
            <w:r w:rsidR="00861334">
              <w:rPr>
                <w:rFonts w:cs="Calibri"/>
                <w:color w:val="000000"/>
                <w:sz w:val="20"/>
                <w:szCs w:val="20"/>
              </w:rPr>
              <w:t xml:space="preserve">(journals / accruals / balance sheet) </w:t>
            </w:r>
            <w:r w:rsidRPr="00BC5412">
              <w:rPr>
                <w:rFonts w:cs="Calibri"/>
                <w:color w:val="000000"/>
                <w:sz w:val="20"/>
                <w:szCs w:val="20"/>
              </w:rPr>
              <w:t xml:space="preserve">and providing support for the </w:t>
            </w:r>
            <w:r>
              <w:rPr>
                <w:rFonts w:cs="Calibri"/>
                <w:color w:val="000000"/>
                <w:sz w:val="20"/>
                <w:szCs w:val="20"/>
              </w:rPr>
              <w:t>B</w:t>
            </w:r>
            <w:r w:rsidR="00861334">
              <w:rPr>
                <w:rFonts w:cs="Calibri"/>
                <w:color w:val="000000"/>
                <w:sz w:val="20"/>
                <w:szCs w:val="20"/>
              </w:rPr>
              <w:t>B</w:t>
            </w:r>
            <w:r>
              <w:rPr>
                <w:rFonts w:cs="Calibri"/>
                <w:color w:val="000000"/>
                <w:sz w:val="20"/>
                <w:szCs w:val="20"/>
              </w:rPr>
              <w:t>U</w:t>
            </w:r>
            <w:r w:rsidRPr="00BC5412">
              <w:rPr>
                <w:rFonts w:cs="Calibri"/>
                <w:color w:val="000000"/>
                <w:sz w:val="20"/>
                <w:szCs w:val="20"/>
              </w:rPr>
              <w:t xml:space="preserve">. Liaise with </w:t>
            </w:r>
            <w:r>
              <w:rPr>
                <w:rFonts w:cs="Calibri"/>
                <w:color w:val="000000"/>
                <w:sz w:val="20"/>
                <w:szCs w:val="20"/>
              </w:rPr>
              <w:t>internal stakeholders</w:t>
            </w:r>
            <w:r w:rsidRPr="00BC5412">
              <w:rPr>
                <w:rFonts w:cs="Calibri"/>
                <w:color w:val="000000"/>
                <w:sz w:val="20"/>
                <w:szCs w:val="20"/>
              </w:rPr>
              <w:t xml:space="preserve"> as required, to ensure accuracy and timeliness of </w:t>
            </w:r>
            <w:r w:rsidR="00861334">
              <w:rPr>
                <w:rFonts w:cs="Calibri"/>
                <w:color w:val="000000"/>
                <w:sz w:val="20"/>
                <w:szCs w:val="20"/>
              </w:rPr>
              <w:t>reporting</w:t>
            </w:r>
            <w:r w:rsidRPr="00BC5412">
              <w:rPr>
                <w:rFonts w:cs="Calibri"/>
                <w:color w:val="000000"/>
                <w:sz w:val="20"/>
                <w:szCs w:val="20"/>
              </w:rPr>
              <w:t>.</w:t>
            </w:r>
          </w:p>
          <w:p w14:paraId="7083A701" w14:textId="2378D783" w:rsidR="00BC5412" w:rsidRPr="00BC5412" w:rsidRDefault="00BC5412" w:rsidP="00BC5412">
            <w:pPr>
              <w:numPr>
                <w:ilvl w:val="0"/>
                <w:numId w:val="2"/>
              </w:numPr>
              <w:spacing w:before="120" w:after="0" w:line="240" w:lineRule="auto"/>
              <w:rPr>
                <w:rFonts w:cs="Calibri"/>
                <w:color w:val="000000"/>
                <w:sz w:val="20"/>
                <w:szCs w:val="20"/>
              </w:rPr>
            </w:pPr>
            <w:r>
              <w:rPr>
                <w:rFonts w:cs="Calibri"/>
                <w:color w:val="000000"/>
                <w:sz w:val="20"/>
                <w:szCs w:val="20"/>
              </w:rPr>
              <w:t xml:space="preserve">Responsible, with the other FP&amp;A analyst, for the delivery of </w:t>
            </w:r>
            <w:r w:rsidR="003D2B9E">
              <w:rPr>
                <w:rFonts w:cs="Calibri"/>
                <w:color w:val="000000"/>
                <w:sz w:val="20"/>
                <w:szCs w:val="20"/>
              </w:rPr>
              <w:t xml:space="preserve">monthly </w:t>
            </w:r>
            <w:r w:rsidR="00757893">
              <w:rPr>
                <w:rFonts w:cs="Calibri"/>
                <w:color w:val="000000"/>
                <w:sz w:val="20"/>
                <w:szCs w:val="20"/>
              </w:rPr>
              <w:t xml:space="preserve">flash reporting, </w:t>
            </w:r>
            <w:r>
              <w:rPr>
                <w:rFonts w:cs="Calibri"/>
                <w:color w:val="000000"/>
                <w:sz w:val="20"/>
                <w:szCs w:val="20"/>
              </w:rPr>
              <w:t xml:space="preserve">consolidated BBU reporting and </w:t>
            </w:r>
            <w:r w:rsidR="00757893">
              <w:rPr>
                <w:rFonts w:cs="Calibri"/>
                <w:color w:val="000000"/>
                <w:sz w:val="20"/>
                <w:szCs w:val="20"/>
              </w:rPr>
              <w:t xml:space="preserve">analytical </w:t>
            </w:r>
            <w:r>
              <w:rPr>
                <w:rFonts w:cs="Calibri"/>
                <w:color w:val="000000"/>
                <w:sz w:val="20"/>
                <w:szCs w:val="20"/>
              </w:rPr>
              <w:t>commentary.</w:t>
            </w:r>
          </w:p>
          <w:p w14:paraId="695F9852" w14:textId="42C3B628"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Support the planning, co-ordination and delivery of the processes as detailed within the Finance Calendar to ensure the integrity of the data and report ‘one version of the truth’ while adhering to timescales.</w:t>
            </w:r>
          </w:p>
          <w:p w14:paraId="13636CA4" w14:textId="3C6D0810"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Be a </w:t>
            </w:r>
            <w:r w:rsidR="00861334" w:rsidRPr="00BC5412">
              <w:rPr>
                <w:rFonts w:cs="Calibri"/>
                <w:color w:val="000000"/>
                <w:sz w:val="20"/>
                <w:szCs w:val="20"/>
              </w:rPr>
              <w:t xml:space="preserve">business partner </w:t>
            </w:r>
            <w:r w:rsidRPr="00BC5412">
              <w:rPr>
                <w:rFonts w:cs="Calibri"/>
                <w:color w:val="000000"/>
                <w:sz w:val="20"/>
                <w:szCs w:val="20"/>
              </w:rPr>
              <w:t xml:space="preserve">to </w:t>
            </w:r>
            <w:r w:rsidR="00861334">
              <w:rPr>
                <w:rFonts w:cs="Calibri"/>
                <w:color w:val="000000"/>
                <w:sz w:val="20"/>
                <w:szCs w:val="20"/>
              </w:rPr>
              <w:t xml:space="preserve">specific </w:t>
            </w:r>
            <w:r>
              <w:rPr>
                <w:rFonts w:cs="Calibri"/>
                <w:color w:val="000000"/>
                <w:sz w:val="20"/>
                <w:szCs w:val="20"/>
              </w:rPr>
              <w:t xml:space="preserve">Central BBU </w:t>
            </w:r>
            <w:r w:rsidRPr="00BC5412">
              <w:rPr>
                <w:rFonts w:cs="Calibri"/>
                <w:color w:val="000000"/>
                <w:sz w:val="20"/>
                <w:szCs w:val="20"/>
              </w:rPr>
              <w:t>team</w:t>
            </w:r>
            <w:r w:rsidR="00757893">
              <w:rPr>
                <w:rFonts w:cs="Calibri"/>
                <w:color w:val="000000"/>
                <w:sz w:val="20"/>
                <w:szCs w:val="20"/>
              </w:rPr>
              <w:t>s</w:t>
            </w:r>
            <w:r w:rsidRPr="00BC5412">
              <w:rPr>
                <w:rFonts w:cs="Calibri"/>
                <w:color w:val="000000"/>
                <w:sz w:val="20"/>
                <w:szCs w:val="20"/>
              </w:rPr>
              <w:t>. Instigate monthly business area reviews with the teams. Use functional expertise to challenge the numbers, generate insights, and consolidate Risks &amp; Ops to Budget / LE.</w:t>
            </w:r>
          </w:p>
          <w:p w14:paraId="5511EBC6" w14:textId="4B014D31" w:rsidR="00BC5412" w:rsidRP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Provide finance support, ad hoc analysis and meet project requirements to the </w:t>
            </w:r>
            <w:r>
              <w:rPr>
                <w:rFonts w:cs="Calibri"/>
                <w:color w:val="000000"/>
                <w:sz w:val="20"/>
                <w:szCs w:val="20"/>
              </w:rPr>
              <w:t xml:space="preserve">BBU </w:t>
            </w:r>
            <w:r w:rsidRPr="00BC5412">
              <w:rPr>
                <w:rFonts w:cs="Calibri"/>
                <w:color w:val="000000"/>
                <w:sz w:val="20"/>
                <w:szCs w:val="20"/>
              </w:rPr>
              <w:t>team as required.</w:t>
            </w:r>
          </w:p>
          <w:p w14:paraId="744F8326" w14:textId="6DC848CE" w:rsidR="003D2B9E" w:rsidRPr="00BC5412" w:rsidRDefault="00861334" w:rsidP="003D2B9E">
            <w:pPr>
              <w:numPr>
                <w:ilvl w:val="0"/>
                <w:numId w:val="2"/>
              </w:numPr>
              <w:spacing w:before="120" w:after="0" w:line="240" w:lineRule="auto"/>
              <w:rPr>
                <w:rFonts w:cs="Calibri"/>
                <w:color w:val="000000"/>
                <w:sz w:val="20"/>
                <w:szCs w:val="20"/>
              </w:rPr>
            </w:pPr>
            <w:r>
              <w:rPr>
                <w:rFonts w:cs="Calibri"/>
                <w:color w:val="000000"/>
                <w:sz w:val="20"/>
                <w:szCs w:val="20"/>
              </w:rPr>
              <w:t xml:space="preserve">Maintain a continuous improvement mindset on the areas for which the role is responsible. </w:t>
            </w:r>
          </w:p>
          <w:p w14:paraId="432DCF45" w14:textId="0BFB3C54" w:rsidR="00BC5412" w:rsidRDefault="00BC5412" w:rsidP="00BC5412">
            <w:pPr>
              <w:numPr>
                <w:ilvl w:val="0"/>
                <w:numId w:val="2"/>
              </w:numPr>
              <w:spacing w:before="120" w:after="0" w:line="240" w:lineRule="auto"/>
              <w:rPr>
                <w:rFonts w:cs="Calibri"/>
                <w:color w:val="000000"/>
                <w:sz w:val="20"/>
                <w:szCs w:val="20"/>
              </w:rPr>
            </w:pPr>
            <w:r w:rsidRPr="00BC5412">
              <w:rPr>
                <w:rFonts w:cs="Calibri"/>
                <w:color w:val="000000"/>
                <w:sz w:val="20"/>
                <w:szCs w:val="20"/>
              </w:rPr>
              <w:t xml:space="preserve">Support the </w:t>
            </w:r>
            <w:r>
              <w:rPr>
                <w:rFonts w:cs="Calibri"/>
                <w:color w:val="000000"/>
                <w:sz w:val="20"/>
                <w:szCs w:val="20"/>
              </w:rPr>
              <w:t>FP&amp;A Finance Manager</w:t>
            </w:r>
            <w:r w:rsidRPr="00BC5412">
              <w:rPr>
                <w:rFonts w:cs="Calibri"/>
                <w:color w:val="000000"/>
                <w:sz w:val="20"/>
                <w:szCs w:val="20"/>
              </w:rPr>
              <w:t xml:space="preserve"> and deputise periodically as required. </w:t>
            </w:r>
          </w:p>
          <w:p w14:paraId="73A4DD12" w14:textId="6977312F" w:rsidR="003D2B9E" w:rsidRPr="00861334" w:rsidRDefault="003D2B9E" w:rsidP="00861334">
            <w:pPr>
              <w:numPr>
                <w:ilvl w:val="0"/>
                <w:numId w:val="2"/>
              </w:numPr>
              <w:spacing w:before="120" w:after="0" w:line="240" w:lineRule="auto"/>
              <w:rPr>
                <w:rFonts w:cs="Calibri"/>
                <w:color w:val="000000"/>
                <w:sz w:val="20"/>
                <w:szCs w:val="20"/>
              </w:rPr>
            </w:pPr>
            <w:r w:rsidRPr="00861334">
              <w:rPr>
                <w:rFonts w:cs="Calibri"/>
                <w:color w:val="000000"/>
                <w:sz w:val="20"/>
                <w:szCs w:val="20"/>
              </w:rPr>
              <w:t xml:space="preserve">Support the </w:t>
            </w:r>
            <w:r w:rsidR="00757893">
              <w:rPr>
                <w:rFonts w:cs="Calibri"/>
                <w:color w:val="000000"/>
                <w:sz w:val="20"/>
                <w:szCs w:val="20"/>
              </w:rPr>
              <w:t>delivery of</w:t>
            </w:r>
            <w:r w:rsidRPr="00861334">
              <w:rPr>
                <w:rFonts w:cs="Calibri"/>
                <w:color w:val="000000"/>
                <w:sz w:val="20"/>
                <w:szCs w:val="20"/>
              </w:rPr>
              <w:t xml:space="preserve"> updated reporting and planning tools and identify reporting efficiencies that come with </w:t>
            </w:r>
            <w:r w:rsidR="00861334" w:rsidRPr="00861334">
              <w:rPr>
                <w:rFonts w:cs="Calibri"/>
                <w:color w:val="000000"/>
                <w:sz w:val="20"/>
                <w:szCs w:val="20"/>
              </w:rPr>
              <w:t xml:space="preserve">any further </w:t>
            </w:r>
            <w:r w:rsidR="00757893">
              <w:rPr>
                <w:rFonts w:cs="Calibri"/>
                <w:color w:val="000000"/>
                <w:sz w:val="20"/>
                <w:szCs w:val="20"/>
              </w:rPr>
              <w:t xml:space="preserve">system </w:t>
            </w:r>
            <w:r w:rsidRPr="00861334">
              <w:rPr>
                <w:rFonts w:cs="Calibri"/>
                <w:color w:val="000000"/>
                <w:sz w:val="20"/>
                <w:szCs w:val="20"/>
              </w:rPr>
              <w:t>upgrades</w:t>
            </w:r>
            <w:r w:rsidR="00757893">
              <w:rPr>
                <w:rFonts w:cs="Calibri"/>
                <w:color w:val="000000"/>
                <w:sz w:val="20"/>
                <w:szCs w:val="20"/>
              </w:rPr>
              <w:t>, following the change to the operating model</w:t>
            </w:r>
            <w:r w:rsidRPr="00861334">
              <w:rPr>
                <w:rFonts w:cs="Calibri"/>
                <w:color w:val="000000"/>
                <w:sz w:val="20"/>
                <w:szCs w:val="20"/>
              </w:rPr>
              <w:t xml:space="preserve">. </w:t>
            </w:r>
          </w:p>
          <w:p w14:paraId="1484ED26" w14:textId="040D9AA0" w:rsidR="003D2B9E" w:rsidRPr="003D2B9E" w:rsidRDefault="003D2B9E" w:rsidP="003D2B9E">
            <w:pPr>
              <w:spacing w:before="120" w:after="0" w:line="240" w:lineRule="auto"/>
              <w:ind w:left="360"/>
              <w:rPr>
                <w:rFonts w:cs="Calibri"/>
                <w:color w:val="000000"/>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B95A280" w:rsidR="002775AB" w:rsidRPr="002775AB" w:rsidRDefault="009922A7" w:rsidP="00D533DB">
            <w:pPr>
              <w:rPr>
                <w:rFonts w:cs="Calibri"/>
                <w:sz w:val="20"/>
                <w:szCs w:val="20"/>
              </w:rPr>
            </w:pPr>
            <w:r w:rsidRPr="009922A7">
              <w:rPr>
                <w:rFonts w:cs="Calibri"/>
                <w:sz w:val="20"/>
                <w:szCs w:val="20"/>
              </w:rPr>
              <w:t>Sophia Haythornthwaite</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64D940E5" w:rsidR="002775AB" w:rsidRPr="002775AB" w:rsidRDefault="00E346ED" w:rsidP="00D533DB">
            <w:pPr>
              <w:rPr>
                <w:rFonts w:cs="Calibri"/>
                <w:sz w:val="20"/>
                <w:szCs w:val="20"/>
              </w:rPr>
            </w:pPr>
            <w:r>
              <w:rPr>
                <w:rFonts w:cs="Calibri"/>
                <w:sz w:val="20"/>
                <w:szCs w:val="20"/>
              </w:rPr>
              <w:t>28/09</w:t>
            </w:r>
            <w:r w:rsidR="009922A7">
              <w:rPr>
                <w:rFonts w:cs="Calibri"/>
                <w:sz w:val="20"/>
                <w:szCs w:val="20"/>
              </w:rPr>
              <w:t>/2022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77777777" w:rsidR="002775AB" w:rsidRPr="002775AB" w:rsidRDefault="002775AB" w:rsidP="00D533DB">
            <w:pPr>
              <w:rPr>
                <w:rFonts w:cs="Calibri"/>
                <w:sz w:val="20"/>
                <w:szCs w:val="20"/>
              </w:rPr>
            </w:pP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77777777" w:rsidR="002775AB" w:rsidRPr="002775AB" w:rsidRDefault="002775AB" w:rsidP="00D533DB">
            <w:pPr>
              <w:rPr>
                <w:rFonts w:cs="Calibri"/>
                <w:sz w:val="20"/>
                <w:szCs w:val="20"/>
              </w:rPr>
            </w:pPr>
          </w:p>
        </w:tc>
      </w:tr>
    </w:tbl>
    <w:p w14:paraId="672A15C7" w14:textId="77777777" w:rsidR="002775AB" w:rsidRPr="002775AB" w:rsidRDefault="002775AB">
      <w:pPr>
        <w:rPr>
          <w:sz w:val="20"/>
          <w:szCs w:val="20"/>
        </w:rPr>
      </w:pPr>
    </w:p>
    <w:sectPr w:rsidR="002775AB" w:rsidRPr="002775AB" w:rsidSect="009922A7">
      <w:headerReference w:type="default" r:id="rId10"/>
      <w:pgSz w:w="12240" w:h="15840"/>
      <w:pgMar w:top="993"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B64A4" w14:textId="77777777" w:rsidR="00B029A6" w:rsidRDefault="00B029A6" w:rsidP="009A5E9F">
      <w:pPr>
        <w:spacing w:after="0" w:line="240" w:lineRule="auto"/>
      </w:pPr>
      <w:r>
        <w:separator/>
      </w:r>
    </w:p>
  </w:endnote>
  <w:endnote w:type="continuationSeparator" w:id="0">
    <w:p w14:paraId="4A8A818F" w14:textId="77777777" w:rsidR="00B029A6" w:rsidRDefault="00B029A6"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96CEB" w14:textId="77777777" w:rsidR="00B029A6" w:rsidRDefault="00B029A6" w:rsidP="009A5E9F">
      <w:pPr>
        <w:spacing w:after="0" w:line="240" w:lineRule="auto"/>
      </w:pPr>
      <w:r>
        <w:separator/>
      </w:r>
    </w:p>
  </w:footnote>
  <w:footnote w:type="continuationSeparator" w:id="0">
    <w:p w14:paraId="2AC04D4A" w14:textId="77777777" w:rsidR="00B029A6" w:rsidRDefault="00B029A6"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lang w:eastAsia="en-GB"/>
      </w:rPr>
      <w:drawing>
        <wp:inline distT="0" distB="0" distL="0" distR="0" wp14:anchorId="3FF09667" wp14:editId="0BC6C65D">
          <wp:extent cx="1873288" cy="849984"/>
          <wp:effectExtent l="0" t="0" r="0" b="127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E11D9"/>
    <w:multiLevelType w:val="hybridMultilevel"/>
    <w:tmpl w:val="A66C2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625829">
    <w:abstractNumId w:val="0"/>
  </w:num>
  <w:num w:numId="2" w16cid:durableId="126310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56283"/>
    <w:rsid w:val="000E2D2A"/>
    <w:rsid w:val="00151B95"/>
    <w:rsid w:val="00184196"/>
    <w:rsid w:val="0019215D"/>
    <w:rsid w:val="001A4C3B"/>
    <w:rsid w:val="001C6D18"/>
    <w:rsid w:val="001F41EE"/>
    <w:rsid w:val="002559BA"/>
    <w:rsid w:val="00276B0A"/>
    <w:rsid w:val="002775AB"/>
    <w:rsid w:val="00280CFC"/>
    <w:rsid w:val="0029489A"/>
    <w:rsid w:val="002C55D4"/>
    <w:rsid w:val="0030189F"/>
    <w:rsid w:val="003A6AB7"/>
    <w:rsid w:val="003B5C23"/>
    <w:rsid w:val="003D2B9E"/>
    <w:rsid w:val="004A2E53"/>
    <w:rsid w:val="005D36D7"/>
    <w:rsid w:val="00645F29"/>
    <w:rsid w:val="006B5A78"/>
    <w:rsid w:val="006D4A20"/>
    <w:rsid w:val="00757893"/>
    <w:rsid w:val="007A5916"/>
    <w:rsid w:val="00815BE4"/>
    <w:rsid w:val="00860EA0"/>
    <w:rsid w:val="00861334"/>
    <w:rsid w:val="008B2E82"/>
    <w:rsid w:val="008D65A4"/>
    <w:rsid w:val="008E1BE9"/>
    <w:rsid w:val="009922A7"/>
    <w:rsid w:val="009A5E9F"/>
    <w:rsid w:val="009E77B6"/>
    <w:rsid w:val="00AF6943"/>
    <w:rsid w:val="00B029A6"/>
    <w:rsid w:val="00B541BB"/>
    <w:rsid w:val="00BC5412"/>
    <w:rsid w:val="00BE16A8"/>
    <w:rsid w:val="00DC6A19"/>
    <w:rsid w:val="00E33F43"/>
    <w:rsid w:val="00E346ED"/>
    <w:rsid w:val="00F3005D"/>
    <w:rsid w:val="00F32A11"/>
    <w:rsid w:val="00F367C5"/>
    <w:rsid w:val="00F7233E"/>
    <w:rsid w:val="00F73692"/>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paragraph" w:styleId="ListParagraph">
    <w:name w:val="List Paragraph"/>
    <w:basedOn w:val="Normal"/>
    <w:uiPriority w:val="34"/>
    <w:qFormat/>
    <w:rsid w:val="009922A7"/>
    <w:pPr>
      <w:spacing w:after="0" w:line="240" w:lineRule="auto"/>
      <w:ind w:left="720"/>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4FB0139FEA34D9AEB1B6C12B9017D" ma:contentTypeVersion="6" ma:contentTypeDescription="Create a new document." ma:contentTypeScope="" ma:versionID="49ec600dfc9576e363fc50d49743c02f">
  <xsd:schema xmlns:xsd="http://www.w3.org/2001/XMLSchema" xmlns:xs="http://www.w3.org/2001/XMLSchema" xmlns:p="http://schemas.microsoft.com/office/2006/metadata/properties" xmlns:ns2="59661256-9529-476d-81b1-e5c70344bfca" xmlns:ns3="a6ee8c7c-a6ae-4ed9-8b0f-075b935d4177" targetNamespace="http://schemas.microsoft.com/office/2006/metadata/properties" ma:root="true" ma:fieldsID="bc05900be23e0a6c802309e22d53c4dc" ns2:_="" ns3:_="">
    <xsd:import namespace="59661256-9529-476d-81b1-e5c70344bfca"/>
    <xsd:import namespace="a6ee8c7c-a6ae-4ed9-8b0f-075b935d4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256-9529-476d-81b1-e5c70344b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e8c7c-a6ae-4ed9-8b0f-075b935d4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EE8F0-9BD0-4E45-AD60-1C0B91693CDF}">
  <ds:schemaRefs>
    <ds:schemaRef ds:uri="http://schemas.microsoft.com/sharepoint/v3/contenttype/forms"/>
  </ds:schemaRefs>
</ds:datastoreItem>
</file>

<file path=customXml/itemProps2.xml><?xml version="1.0" encoding="utf-8"?>
<ds:datastoreItem xmlns:ds="http://schemas.openxmlformats.org/officeDocument/2006/customXml" ds:itemID="{C9F4A9B0-872F-4D82-A79D-CB981328B7DF}">
  <ds:schemaRefs>
    <ds:schemaRef ds:uri="http://schemas.microsoft.com/office/2006/documentManagement/types"/>
    <ds:schemaRef ds:uri="http://schemas.microsoft.com/office/infopath/2007/PartnerControls"/>
    <ds:schemaRef ds:uri="59661256-9529-476d-81b1-e5c70344bfca"/>
    <ds:schemaRef ds:uri="http://purl.org/dc/elements/1.1/"/>
    <ds:schemaRef ds:uri="http://schemas.microsoft.com/office/2006/metadata/properties"/>
    <ds:schemaRef ds:uri="http://purl.org/dc/terms/"/>
    <ds:schemaRef ds:uri="http://schemas.openxmlformats.org/package/2006/metadata/core-properties"/>
    <ds:schemaRef ds:uri="a6ee8c7c-a6ae-4ed9-8b0f-075b935d4177"/>
    <ds:schemaRef ds:uri="http://www.w3.org/XML/1998/namespace"/>
    <ds:schemaRef ds:uri="http://purl.org/dc/dcmitype/"/>
  </ds:schemaRefs>
</ds:datastoreItem>
</file>

<file path=customXml/itemProps3.xml><?xml version="1.0" encoding="utf-8"?>
<ds:datastoreItem xmlns:ds="http://schemas.openxmlformats.org/officeDocument/2006/customXml" ds:itemID="{B05A1624-3210-41E1-A021-3B230AF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256-9529-476d-81b1-e5c70344bfca"/>
    <ds:schemaRef ds:uri="a6ee8c7c-a6ae-4ed9-8b0f-075b935d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Megan Hay</cp:lastModifiedBy>
  <cp:revision>2</cp:revision>
  <dcterms:created xsi:type="dcterms:W3CDTF">2024-10-11T07:46:00Z</dcterms:created>
  <dcterms:modified xsi:type="dcterms:W3CDTF">2024-10-11T07:46:00Z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0x0101003D24FB0139FEA34D9AEB1B6C12B9017D</vt:lpwstr>
  </property>
</Properties>
</file>