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4A691708" w:rsidR="002775AB" w:rsidRDefault="002775AB" w:rsidP="002775AB">
      <w:pPr>
        <w:pStyle w:val="Heading2"/>
      </w:pPr>
      <w:r>
        <w:t xml:space="preserve">Role Profile 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5766D4" w:rsidRPr="00593987" w14:paraId="4E72F9E4" w14:textId="77777777" w:rsidTr="00347D8D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3E1" w14:textId="23982224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Solution </w:t>
            </w:r>
            <w:r w:rsidR="00347D8D"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Architect</w:t>
            </w:r>
          </w:p>
        </w:tc>
      </w:tr>
      <w:tr w:rsidR="005766D4" w:rsidRPr="00593987" w14:paraId="38AE9EC0" w14:textId="77777777" w:rsidTr="00347D8D">
        <w:trPr>
          <w:trHeight w:val="249"/>
        </w:trPr>
        <w:tc>
          <w:tcPr>
            <w:tcW w:w="2972" w:type="dxa"/>
          </w:tcPr>
          <w:p w14:paraId="2BE980C9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tcBorders>
              <w:top w:val="single" w:sz="4" w:space="0" w:color="76717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A82" w14:textId="4C2D472C" w:rsidR="005766D4" w:rsidRPr="00593987" w:rsidRDefault="00347D8D" w:rsidP="005766D4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Central </w:t>
            </w:r>
            <w:r w:rsidR="008200A2"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>Services</w:t>
            </w:r>
          </w:p>
        </w:tc>
      </w:tr>
      <w:tr w:rsidR="005766D4" w:rsidRPr="00593987" w14:paraId="7508006C" w14:textId="77777777" w:rsidTr="00347D8D">
        <w:trPr>
          <w:trHeight w:val="249"/>
        </w:trPr>
        <w:tc>
          <w:tcPr>
            <w:tcW w:w="2972" w:type="dxa"/>
          </w:tcPr>
          <w:p w14:paraId="1E0CF735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C5B" w14:textId="403FCFCD" w:rsidR="005766D4" w:rsidRPr="00593987" w:rsidRDefault="00347D8D" w:rsidP="005766D4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>GTS</w:t>
            </w:r>
          </w:p>
        </w:tc>
      </w:tr>
      <w:tr w:rsidR="005766D4" w:rsidRPr="00593987" w14:paraId="04BE2187" w14:textId="77777777" w:rsidTr="00347D8D">
        <w:trPr>
          <w:trHeight w:val="249"/>
        </w:trPr>
        <w:tc>
          <w:tcPr>
            <w:tcW w:w="2972" w:type="dxa"/>
          </w:tcPr>
          <w:p w14:paraId="4F0528B1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914" w14:textId="15648D50" w:rsidR="005766D4" w:rsidRPr="00593987" w:rsidRDefault="00BF2B6B" w:rsidP="005766D4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Arete</w:t>
            </w:r>
          </w:p>
        </w:tc>
      </w:tr>
      <w:tr w:rsidR="005766D4" w:rsidRPr="00593987" w14:paraId="14CC717C" w14:textId="77777777" w:rsidTr="00347D8D">
        <w:trPr>
          <w:trHeight w:val="249"/>
        </w:trPr>
        <w:tc>
          <w:tcPr>
            <w:tcW w:w="2972" w:type="dxa"/>
          </w:tcPr>
          <w:p w14:paraId="0D18E06F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222" w14:textId="7AE99693" w:rsidR="005766D4" w:rsidRPr="00593987" w:rsidRDefault="00BE5A7D" w:rsidP="005766D4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>Architect</w:t>
            </w:r>
            <w:r w:rsidR="009C4F52"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>ure</w:t>
            </w:r>
            <w:r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Leader</w:t>
            </w:r>
          </w:p>
        </w:tc>
      </w:tr>
      <w:tr w:rsidR="005766D4" w:rsidRPr="00593987" w14:paraId="48AAFCFC" w14:textId="77777777" w:rsidTr="00347D8D">
        <w:trPr>
          <w:trHeight w:val="249"/>
        </w:trPr>
        <w:tc>
          <w:tcPr>
            <w:tcW w:w="2972" w:type="dxa"/>
          </w:tcPr>
          <w:p w14:paraId="022A5F31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96AB" w14:textId="1732573F" w:rsidR="005766D4" w:rsidRPr="00593987" w:rsidRDefault="00347D8D" w:rsidP="005766D4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>No</w:t>
            </w:r>
          </w:p>
        </w:tc>
      </w:tr>
      <w:tr w:rsidR="005766D4" w:rsidRPr="00593987" w14:paraId="56683D6C" w14:textId="77777777" w:rsidTr="00347D8D">
        <w:trPr>
          <w:trHeight w:val="249"/>
        </w:trPr>
        <w:tc>
          <w:tcPr>
            <w:tcW w:w="2972" w:type="dxa"/>
          </w:tcPr>
          <w:p w14:paraId="62B81860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9FE" w14:textId="22127778" w:rsidR="005766D4" w:rsidRPr="00593987" w:rsidRDefault="0054381F" w:rsidP="005766D4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color w:val="000000"/>
                <w:sz w:val="20"/>
                <w:szCs w:val="20"/>
              </w:rPr>
              <w:t>4</w:t>
            </w:r>
            <w:r w:rsidR="0085214C">
              <w:rPr>
                <w:rFonts w:ascii="Source Sans Pro" w:hAnsi="Source Sans Pro" w:cs="Calibri"/>
                <w:color w:val="000000"/>
                <w:sz w:val="20"/>
                <w:szCs w:val="20"/>
              </w:rPr>
              <w:t>A</w:t>
            </w:r>
          </w:p>
        </w:tc>
      </w:tr>
      <w:tr w:rsidR="005766D4" w:rsidRPr="00593987" w14:paraId="3EB5510C" w14:textId="77777777" w:rsidTr="00347D8D">
        <w:trPr>
          <w:trHeight w:val="1198"/>
        </w:trPr>
        <w:tc>
          <w:tcPr>
            <w:tcW w:w="9702" w:type="dxa"/>
            <w:gridSpan w:val="2"/>
          </w:tcPr>
          <w:p w14:paraId="78094481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sz w:val="20"/>
                <w:szCs w:val="20"/>
              </w:rPr>
              <w:t xml:space="preserve">Role Purpose </w:t>
            </w:r>
          </w:p>
          <w:p w14:paraId="2FE01A1D" w14:textId="330C8300" w:rsidR="006654C9" w:rsidRDefault="006654C9" w:rsidP="005766D4">
            <w:pPr>
              <w:pStyle w:val="NoSpacing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color w:val="000000"/>
                <w:sz w:val="20"/>
                <w:szCs w:val="20"/>
              </w:rPr>
              <w:t>Lead, manage and develop GTS</w:t>
            </w:r>
            <w:r>
              <w:rPr>
                <w:rFonts w:ascii="Source Sans Pro" w:hAnsi="Source Sans Pro"/>
                <w:color w:val="000000"/>
                <w:sz w:val="20"/>
                <w:szCs w:val="20"/>
              </w:rPr>
              <w:t>’</w:t>
            </w:r>
            <w:r w:rsidRPr="008B666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color w:val="000000"/>
                <w:sz w:val="20"/>
                <w:szCs w:val="20"/>
              </w:rPr>
              <w:t>Solution</w:t>
            </w:r>
            <w:r w:rsidRPr="008B666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architecture</w:t>
            </w:r>
            <w:r w:rsidR="00C26C2E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(</w:t>
            </w:r>
            <w:r w:rsidR="00801CD5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including </w:t>
            </w:r>
            <w:r w:rsidRPr="008B666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cloud architecture, process architecture, data architecture and </w:t>
            </w:r>
            <w:r>
              <w:rPr>
                <w:rFonts w:ascii="Source Sans Pro" w:hAnsi="Source Sans Pro"/>
                <w:color w:val="000000"/>
                <w:sz w:val="20"/>
                <w:szCs w:val="20"/>
              </w:rPr>
              <w:t>technology</w:t>
            </w:r>
            <w:r w:rsidRPr="008B666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architecture</w:t>
            </w:r>
            <w:r w:rsidR="00C26C2E">
              <w:rPr>
                <w:rFonts w:ascii="Source Sans Pro" w:hAnsi="Source Sans Pro"/>
                <w:color w:val="000000"/>
                <w:sz w:val="20"/>
                <w:szCs w:val="20"/>
              </w:rPr>
              <w:t>)</w:t>
            </w:r>
            <w:r w:rsidRPr="008B6664">
              <w:rPr>
                <w:rFonts w:ascii="Source Sans Pro" w:hAnsi="Source Sans Pro"/>
                <w:color w:val="000000"/>
                <w:sz w:val="20"/>
                <w:szCs w:val="20"/>
              </w:rPr>
              <w:t>.</w:t>
            </w:r>
          </w:p>
          <w:p w14:paraId="6E06A761" w14:textId="77777777" w:rsidR="006654C9" w:rsidRDefault="006654C9" w:rsidP="005766D4">
            <w:pPr>
              <w:pStyle w:val="NoSpacing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4B380219" w14:textId="144CA9F9" w:rsidR="005766D4" w:rsidRPr="00B34392" w:rsidRDefault="003639F4" w:rsidP="00B3439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To provide high-level solution </w:t>
            </w:r>
            <w:r w:rsidR="006654C9">
              <w:rPr>
                <w:rFonts w:cs="Calibri"/>
              </w:rPr>
              <w:t xml:space="preserve">architecture </w:t>
            </w:r>
            <w:r>
              <w:rPr>
                <w:rFonts w:cs="Calibri"/>
              </w:rPr>
              <w:t xml:space="preserve">artefacts that align with </w:t>
            </w:r>
            <w:r w:rsidR="000067E3">
              <w:rPr>
                <w:rFonts w:cs="Calibri"/>
              </w:rPr>
              <w:t>GTS’</w:t>
            </w:r>
            <w:r>
              <w:rPr>
                <w:rFonts w:cs="Calibri"/>
              </w:rPr>
              <w:t xml:space="preserve"> enterprise </w:t>
            </w:r>
            <w:r w:rsidR="006654C9">
              <w:rPr>
                <w:rFonts w:cs="Calibri"/>
              </w:rPr>
              <w:t>architecture</w:t>
            </w:r>
            <w:r w:rsidR="000067E3">
              <w:rPr>
                <w:rFonts w:cs="Calibri"/>
              </w:rPr>
              <w:t>, with the key aim of</w:t>
            </w:r>
            <w:r w:rsidR="006654C9">
              <w:rPr>
                <w:rFonts w:cs="Calibri"/>
              </w:rPr>
              <w:t xml:space="preserve"> realis</w:t>
            </w:r>
            <w:r w:rsidR="000067E3">
              <w:rPr>
                <w:rFonts w:cs="Calibri"/>
              </w:rPr>
              <w:t>ing</w:t>
            </w:r>
            <w:r w:rsidR="006654C9">
              <w:rPr>
                <w:rFonts w:cs="Calibri"/>
              </w:rPr>
              <w:t xml:space="preserve"> organisational strategic goals. </w:t>
            </w:r>
            <w:r w:rsidR="000067E3">
              <w:rPr>
                <w:rFonts w:cs="Calibri"/>
              </w:rPr>
              <w:t>Providing s</w:t>
            </w:r>
            <w:r>
              <w:rPr>
                <w:rFonts w:cs="Calibri"/>
              </w:rPr>
              <w:t xml:space="preserve">olutions </w:t>
            </w:r>
            <w:r w:rsidR="000067E3">
              <w:rPr>
                <w:rFonts w:cs="Calibri"/>
              </w:rPr>
              <w:t>leadership and guidance a</w:t>
            </w:r>
            <w:r w:rsidR="006654C9">
              <w:rPr>
                <w:rFonts w:cs="Calibri"/>
              </w:rPr>
              <w:t xml:space="preserve">cross all domains </w:t>
            </w:r>
            <w:r>
              <w:rPr>
                <w:rFonts w:cs="Calibri"/>
              </w:rPr>
              <w:t>includ</w:t>
            </w:r>
            <w:r w:rsidR="006654C9">
              <w:rPr>
                <w:rFonts w:cs="Calibri"/>
              </w:rPr>
              <w:t>ing</w:t>
            </w:r>
            <w:r>
              <w:rPr>
                <w:rFonts w:cs="Calibri"/>
              </w:rPr>
              <w:t xml:space="preserve"> applications, technolog</w:t>
            </w:r>
            <w:r w:rsidR="000067E3">
              <w:rPr>
                <w:rFonts w:cs="Calibri"/>
              </w:rPr>
              <w:t>y</w:t>
            </w:r>
            <w:r>
              <w:rPr>
                <w:rFonts w:cs="Calibri"/>
              </w:rPr>
              <w:t xml:space="preserve">, process and </w:t>
            </w:r>
            <w:r w:rsidR="006654C9">
              <w:rPr>
                <w:rFonts w:cs="Calibri"/>
              </w:rPr>
              <w:t>the data landscape</w:t>
            </w:r>
            <w:r>
              <w:rPr>
                <w:rFonts w:cs="Calibri"/>
              </w:rPr>
              <w:t>.</w:t>
            </w:r>
          </w:p>
        </w:tc>
      </w:tr>
      <w:tr w:rsidR="005766D4" w:rsidRPr="00593987" w14:paraId="4A8A80D4" w14:textId="77777777" w:rsidTr="00854BDE">
        <w:trPr>
          <w:trHeight w:val="983"/>
        </w:trPr>
        <w:tc>
          <w:tcPr>
            <w:tcW w:w="9702" w:type="dxa"/>
            <w:gridSpan w:val="2"/>
          </w:tcPr>
          <w:p w14:paraId="4CF31CA4" w14:textId="77777777" w:rsidR="005766D4" w:rsidRPr="00593987" w:rsidRDefault="005766D4" w:rsidP="005766D4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593987">
              <w:rPr>
                <w:rFonts w:ascii="Source Sans Pro" w:hAnsi="Source Sans Pro" w:cs="Calibri"/>
                <w:b/>
                <w:sz w:val="20"/>
                <w:szCs w:val="20"/>
              </w:rPr>
              <w:t>Accountabilities</w:t>
            </w:r>
          </w:p>
          <w:p w14:paraId="0B03CC9F" w14:textId="2C6F1085" w:rsidR="00BF2B6B" w:rsidRDefault="00035F03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sz w:val="20"/>
                <w:szCs w:val="20"/>
              </w:rPr>
              <w:t xml:space="preserve">Accountable for ensuring </w:t>
            </w:r>
            <w:r w:rsidR="00BF2B6B">
              <w:rPr>
                <w:rFonts w:ascii="Source Sans Pro" w:hAnsi="Source Sans Pro"/>
                <w:sz w:val="20"/>
                <w:szCs w:val="20"/>
              </w:rPr>
              <w:t xml:space="preserve">all Solution Architecture artefacts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align </w:t>
            </w:r>
            <w:r w:rsidR="00BF2B6B">
              <w:rPr>
                <w:rFonts w:ascii="Source Sans Pro" w:hAnsi="Source Sans Pro"/>
                <w:sz w:val="20"/>
                <w:szCs w:val="20"/>
              </w:rPr>
              <w:t>with the defined Enterprise Architecture</w:t>
            </w:r>
          </w:p>
          <w:p w14:paraId="3BD97D7B" w14:textId="5907E7D1" w:rsidR="00FB77A8" w:rsidRDefault="00FB77A8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Provide technology expertise</w:t>
            </w:r>
            <w:r w:rsidR="00583F2B">
              <w:rPr>
                <w:rFonts w:ascii="Source Sans Pro" w:hAnsi="Source Sans Pro"/>
                <w:sz w:val="20"/>
                <w:szCs w:val="20"/>
              </w:rPr>
              <w:t xml:space="preserve"> and solutions guidance across all areas of the application, technology and data landscapes</w:t>
            </w:r>
          </w:p>
          <w:p w14:paraId="7AC7BE5B" w14:textId="75B7402D" w:rsidR="00436D32" w:rsidRDefault="00B718FC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Deliver solution Architecture artefacts that </w:t>
            </w:r>
            <w:r w:rsidR="00A96C52">
              <w:rPr>
                <w:rFonts w:ascii="Source Sans Pro" w:hAnsi="Source Sans Pro"/>
                <w:sz w:val="20"/>
                <w:szCs w:val="20"/>
              </w:rPr>
              <w:t xml:space="preserve">meet </w:t>
            </w:r>
            <w:r w:rsidR="00583F2B">
              <w:rPr>
                <w:rFonts w:ascii="Source Sans Pro" w:hAnsi="Source Sans Pro"/>
                <w:sz w:val="20"/>
                <w:szCs w:val="20"/>
              </w:rPr>
              <w:t xml:space="preserve">business needs while </w:t>
            </w:r>
          </w:p>
          <w:p w14:paraId="586950E3" w14:textId="12E84C9B" w:rsidR="00B718FC" w:rsidRDefault="00B718FC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Ensure alignment with technology </w:t>
            </w:r>
            <w:r w:rsidR="00583F2B">
              <w:rPr>
                <w:rFonts w:ascii="Source Sans Pro" w:hAnsi="Source Sans Pro"/>
                <w:sz w:val="20"/>
                <w:szCs w:val="20"/>
              </w:rPr>
              <w:t xml:space="preserve">industry </w:t>
            </w:r>
            <w:r>
              <w:rPr>
                <w:rFonts w:ascii="Source Sans Pro" w:hAnsi="Source Sans Pro"/>
                <w:sz w:val="20"/>
                <w:szCs w:val="20"/>
              </w:rPr>
              <w:t>best practices and standard</w:t>
            </w:r>
            <w:r w:rsidR="00583F2B">
              <w:rPr>
                <w:rFonts w:ascii="Source Sans Pro" w:hAnsi="Source Sans Pro"/>
                <w:sz w:val="20"/>
                <w:szCs w:val="20"/>
              </w:rPr>
              <w:t>s.</w:t>
            </w:r>
          </w:p>
          <w:p w14:paraId="08D7D57D" w14:textId="433F5708" w:rsidR="00BF2B6B" w:rsidRPr="008B6664" w:rsidRDefault="00BF2B6B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Contribute </w:t>
            </w:r>
            <w:r w:rsidR="00B34392">
              <w:rPr>
                <w:rFonts w:ascii="Source Sans Pro" w:hAnsi="Source Sans Pro"/>
                <w:sz w:val="20"/>
                <w:szCs w:val="20"/>
              </w:rPr>
              <w:t>to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the development</w:t>
            </w:r>
            <w:r w:rsidR="00B34392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management and continuous improvement of the overall </w:t>
            </w:r>
            <w:r w:rsidR="00B34392">
              <w:rPr>
                <w:rFonts w:ascii="Source Sans Pro" w:hAnsi="Source Sans Pro"/>
                <w:sz w:val="20"/>
                <w:szCs w:val="20"/>
              </w:rPr>
              <w:t>solution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architecture</w:t>
            </w:r>
            <w:r w:rsidR="00035F03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supporting </w:t>
            </w:r>
            <w:r w:rsidR="00B34392">
              <w:rPr>
                <w:rFonts w:ascii="Source Sans Pro" w:hAnsi="Source Sans Pro"/>
                <w:sz w:val="20"/>
                <w:szCs w:val="20"/>
              </w:rPr>
              <w:t xml:space="preserve">standards, frameworks and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guardrails  </w:t>
            </w:r>
          </w:p>
          <w:p w14:paraId="05DF28EB" w14:textId="77777777" w:rsidR="00583F2B" w:rsidRPr="008B6664" w:rsidRDefault="00583F2B" w:rsidP="00583F2B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Contribute to the delivery of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the Architecture team backlog, providing clarity on priority items, ensuring timely progress in a structured manner </w:t>
            </w:r>
            <w:r>
              <w:rPr>
                <w:rFonts w:ascii="Source Sans Pro" w:hAnsi="Source Sans Pro"/>
                <w:sz w:val="20"/>
                <w:szCs w:val="20"/>
              </w:rPr>
              <w:t>ensuring compliance with Architecture governance standards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68BC4295" w14:textId="114F2AF6" w:rsidR="00B34392" w:rsidRPr="008B4EEC" w:rsidRDefault="00B34392" w:rsidP="008B4EEC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sz w:val="20"/>
                <w:szCs w:val="20"/>
              </w:rPr>
              <w:t xml:space="preserve">Improve and develop current </w:t>
            </w:r>
            <w:r>
              <w:rPr>
                <w:rFonts w:ascii="Source Sans Pro" w:hAnsi="Source Sans Pro"/>
                <w:sz w:val="20"/>
                <w:szCs w:val="20"/>
              </w:rPr>
              <w:t>solution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architecture and design controls; defining and enforcing architecture standards, methodologies, processes, tools and frameworks against which </w:t>
            </w:r>
            <w:r w:rsidR="00E56C9B">
              <w:rPr>
                <w:rFonts w:ascii="Source Sans Pro" w:hAnsi="Source Sans Pro"/>
                <w:sz w:val="20"/>
                <w:szCs w:val="20"/>
              </w:rPr>
              <w:t xml:space="preserve">delivery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projects </w:t>
            </w:r>
            <w:r w:rsidR="008B4EEC">
              <w:rPr>
                <w:rFonts w:ascii="Source Sans Pro" w:hAnsi="Source Sans Pro"/>
                <w:sz w:val="20"/>
                <w:szCs w:val="20"/>
              </w:rPr>
              <w:t>will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E56C9B">
              <w:rPr>
                <w:rFonts w:ascii="Source Sans Pro" w:hAnsi="Source Sans Pro"/>
                <w:sz w:val="20"/>
                <w:szCs w:val="20"/>
              </w:rPr>
              <w:t>be governed</w:t>
            </w:r>
          </w:p>
          <w:p w14:paraId="0AB2D241" w14:textId="5D2D66A4" w:rsidR="00436D32" w:rsidRPr="00436D32" w:rsidRDefault="00436D32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Undertake</w:t>
            </w:r>
            <w:r w:rsidRPr="00436D32">
              <w:rPr>
                <w:rFonts w:ascii="Source Sans Pro" w:hAnsi="Source Sans Pro"/>
                <w:sz w:val="20"/>
                <w:szCs w:val="20"/>
              </w:rPr>
              <w:t xml:space="preserve"> horizon scanning for emerging technologies </w:t>
            </w:r>
            <w:r w:rsidR="00B718FC">
              <w:rPr>
                <w:rFonts w:ascii="Source Sans Pro" w:hAnsi="Source Sans Pro"/>
                <w:sz w:val="20"/>
                <w:szCs w:val="20"/>
              </w:rPr>
              <w:t>to</w:t>
            </w:r>
            <w:r w:rsidRPr="00436D32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provide </w:t>
            </w:r>
            <w:r w:rsidRPr="00436D32">
              <w:rPr>
                <w:rFonts w:ascii="Source Sans Pro" w:hAnsi="Source Sans Pro"/>
                <w:sz w:val="20"/>
                <w:szCs w:val="20"/>
              </w:rPr>
              <w:t xml:space="preserve">advice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and guidance to </w:t>
            </w:r>
            <w:r w:rsidRPr="00436D32">
              <w:rPr>
                <w:rFonts w:ascii="Source Sans Pro" w:hAnsi="Source Sans Pro"/>
                <w:sz w:val="20"/>
                <w:szCs w:val="20"/>
              </w:rPr>
              <w:t xml:space="preserve">WG&amp;S business teams of technologies and tools suitable </w:t>
            </w:r>
            <w:r w:rsidR="00622B18">
              <w:rPr>
                <w:rFonts w:ascii="Source Sans Pro" w:hAnsi="Source Sans Pro"/>
                <w:sz w:val="20"/>
                <w:szCs w:val="20"/>
              </w:rPr>
              <w:t>to meet</w:t>
            </w:r>
            <w:r w:rsidRPr="00436D32">
              <w:rPr>
                <w:rFonts w:ascii="Source Sans Pro" w:hAnsi="Source Sans Pro"/>
                <w:sz w:val="20"/>
                <w:szCs w:val="20"/>
              </w:rPr>
              <w:t xml:space="preserve"> their business needs </w:t>
            </w:r>
            <w:r w:rsidR="00FB77A8">
              <w:rPr>
                <w:rFonts w:ascii="Source Sans Pro" w:hAnsi="Source Sans Pro"/>
                <w:sz w:val="20"/>
                <w:szCs w:val="20"/>
              </w:rPr>
              <w:t xml:space="preserve">   </w:t>
            </w:r>
          </w:p>
          <w:p w14:paraId="2F1E1DF4" w14:textId="121B5B7F" w:rsidR="00436D32" w:rsidRPr="008B6664" w:rsidRDefault="00436D32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sz w:val="20"/>
                <w:szCs w:val="20"/>
              </w:rPr>
              <w:t xml:space="preserve">Provide architecture expertise to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GTS’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Product teams, jointly identify business requirements, create </w:t>
            </w:r>
            <w:r>
              <w:rPr>
                <w:rFonts w:ascii="Source Sans Pro" w:hAnsi="Source Sans Pro"/>
                <w:sz w:val="20"/>
                <w:szCs w:val="20"/>
              </w:rPr>
              <w:t>solution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583F2B">
              <w:rPr>
                <w:rFonts w:ascii="Source Sans Pro" w:hAnsi="Source Sans Pro"/>
                <w:sz w:val="20"/>
                <w:szCs w:val="20"/>
              </w:rPr>
              <w:t>artefacts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and </w:t>
            </w:r>
            <w:r w:rsidR="00583F2B">
              <w:rPr>
                <w:rFonts w:ascii="Source Sans Pro" w:hAnsi="Source Sans Pro"/>
                <w:sz w:val="20"/>
                <w:szCs w:val="20"/>
              </w:rPr>
              <w:t xml:space="preserve">contribute to the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>implement</w:t>
            </w:r>
            <w:r w:rsidR="00583F2B">
              <w:rPr>
                <w:rFonts w:ascii="Source Sans Pro" w:hAnsi="Source Sans Pro"/>
                <w:sz w:val="20"/>
                <w:szCs w:val="20"/>
              </w:rPr>
              <w:t>ation of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583F2B">
              <w:rPr>
                <w:rFonts w:ascii="Source Sans Pro" w:hAnsi="Source Sans Pro"/>
                <w:sz w:val="20"/>
                <w:szCs w:val="20"/>
              </w:rPr>
              <w:t>resultant delivery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projects  </w:t>
            </w:r>
          </w:p>
          <w:p w14:paraId="2BF5AB21" w14:textId="140F0389" w:rsidR="00436D32" w:rsidRPr="008B4EEC" w:rsidRDefault="00583F2B" w:rsidP="008B4EEC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sz w:val="20"/>
                <w:szCs w:val="20"/>
              </w:rPr>
              <w:t xml:space="preserve">Provide architecture expertise to </w:t>
            </w:r>
            <w:r>
              <w:rPr>
                <w:rFonts w:ascii="Source Sans Pro" w:hAnsi="Source Sans Pro"/>
                <w:sz w:val="20"/>
                <w:szCs w:val="20"/>
              </w:rPr>
              <w:t>GTS’ Operations teams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, jointly identify business requirements, create </w:t>
            </w:r>
            <w:r>
              <w:rPr>
                <w:rFonts w:ascii="Source Sans Pro" w:hAnsi="Source Sans Pro"/>
                <w:sz w:val="20"/>
                <w:szCs w:val="20"/>
              </w:rPr>
              <w:t>solution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>artefacts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and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contribute to the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>implement</w:t>
            </w:r>
            <w:r>
              <w:rPr>
                <w:rFonts w:ascii="Source Sans Pro" w:hAnsi="Source Sans Pro"/>
                <w:sz w:val="20"/>
                <w:szCs w:val="20"/>
              </w:rPr>
              <w:t>ation of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>resultant delivery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projects  </w:t>
            </w:r>
          </w:p>
          <w:p w14:paraId="3CCF7924" w14:textId="1F8CB1C8" w:rsidR="00436D32" w:rsidRPr="008B6664" w:rsidRDefault="00436D32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sz w:val="20"/>
                <w:szCs w:val="20"/>
              </w:rPr>
              <w:t xml:space="preserve">Work closely with other roles </w:t>
            </w:r>
            <w:r w:rsidR="00583F2B">
              <w:rPr>
                <w:rFonts w:ascii="Source Sans Pro" w:hAnsi="Source Sans Pro"/>
                <w:sz w:val="20"/>
                <w:szCs w:val="20"/>
              </w:rPr>
              <w:t>across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the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wider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Architecture team </w:t>
            </w:r>
          </w:p>
          <w:p w14:paraId="71856BDC" w14:textId="0C8E7E2A" w:rsidR="00436D32" w:rsidRDefault="00436D32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Form active membership of the GTS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>T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>echn</w:t>
            </w:r>
            <w:r>
              <w:rPr>
                <w:rFonts w:ascii="Source Sans Pro" w:hAnsi="Source Sans Pro"/>
                <w:sz w:val="20"/>
                <w:szCs w:val="20"/>
              </w:rPr>
              <w:t>ical Design Authority</w:t>
            </w:r>
            <w:r w:rsidR="00622B18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>provid</w:t>
            </w:r>
            <w:r w:rsidR="008B4EEC">
              <w:rPr>
                <w:rFonts w:ascii="Source Sans Pro" w:hAnsi="Source Sans Pro"/>
                <w:sz w:val="20"/>
                <w:szCs w:val="20"/>
              </w:rPr>
              <w:t>ing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assurance </w:t>
            </w:r>
            <w:r w:rsidR="00622B18">
              <w:rPr>
                <w:rFonts w:ascii="Source Sans Pro" w:hAnsi="Source Sans Pro"/>
                <w:sz w:val="20"/>
                <w:szCs w:val="20"/>
              </w:rPr>
              <w:t>all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solution designs are fit for purpose, </w:t>
            </w:r>
            <w:r w:rsidR="008B4EEC">
              <w:rPr>
                <w:rFonts w:ascii="Source Sans Pro" w:hAnsi="Source Sans Pro"/>
                <w:sz w:val="20"/>
                <w:szCs w:val="20"/>
              </w:rPr>
              <w:t xml:space="preserve">while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working to ensure each component meets </w:t>
            </w:r>
            <w:r w:rsidR="00622B18">
              <w:rPr>
                <w:rFonts w:ascii="Source Sans Pro" w:hAnsi="Source Sans Pro"/>
                <w:sz w:val="20"/>
                <w:szCs w:val="20"/>
              </w:rPr>
              <w:t xml:space="preserve">business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>requirements</w:t>
            </w:r>
            <w:r w:rsidR="00622B18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integrates and </w:t>
            </w:r>
            <w:r w:rsidR="00622B18">
              <w:rPr>
                <w:rFonts w:ascii="Source Sans Pro" w:hAnsi="Source Sans Pro"/>
                <w:sz w:val="20"/>
                <w:szCs w:val="20"/>
              </w:rPr>
              <w:t>aligns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within the complex enterprise architecture </w:t>
            </w:r>
          </w:p>
          <w:p w14:paraId="45BCC9D7" w14:textId="77777777" w:rsidR="00B718FC" w:rsidRPr="008B6664" w:rsidRDefault="00B718FC" w:rsidP="00B718FC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sz w:val="20"/>
                <w:szCs w:val="20"/>
              </w:rPr>
              <w:t xml:space="preserve">Accountable for ensuring all architecture specific activities comply with the appropriate Group standards, governance, methodologies, policies and align with GTS strategy and 5YP objectives  </w:t>
            </w:r>
          </w:p>
          <w:p w14:paraId="7698172B" w14:textId="454CBBCF" w:rsidR="00B718FC" w:rsidRPr="008B6664" w:rsidRDefault="00B718FC" w:rsidP="00B718FC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Contribute to the development of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strateg</w:t>
            </w:r>
            <w:r>
              <w:rPr>
                <w:rFonts w:ascii="Source Sans Pro" w:hAnsi="Source Sans Pro"/>
                <w:sz w:val="20"/>
                <w:szCs w:val="20"/>
              </w:rPr>
              <w:t>ies</w:t>
            </w:r>
            <w:r w:rsidR="004D3AE7">
              <w:rPr>
                <w:rFonts w:ascii="Source Sans Pro" w:hAnsi="Source Sans Pro"/>
                <w:sz w:val="20"/>
                <w:szCs w:val="20"/>
              </w:rPr>
              <w:t xml:space="preserve"> which </w:t>
            </w:r>
            <w:r>
              <w:rPr>
                <w:rFonts w:ascii="Source Sans Pro" w:hAnsi="Source Sans Pro"/>
                <w:sz w:val="20"/>
                <w:szCs w:val="20"/>
              </w:rPr>
              <w:t>guide the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architecture solutions and manage the adaption of it </w:t>
            </w:r>
          </w:p>
          <w:p w14:paraId="45C079FF" w14:textId="53AA31F8" w:rsidR="00436D32" w:rsidRPr="008B6664" w:rsidRDefault="00436D32" w:rsidP="00035F03">
            <w:pPr>
              <w:pStyle w:val="NoSpacing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8B6664">
              <w:rPr>
                <w:rFonts w:ascii="Source Sans Pro" w:hAnsi="Source Sans Pro"/>
                <w:sz w:val="20"/>
                <w:szCs w:val="20"/>
              </w:rPr>
              <w:t xml:space="preserve">Develop strong relationships with key GTS and business stakeholders to ensure alignment across the </w:t>
            </w:r>
            <w:r w:rsidR="008B4EEC">
              <w:rPr>
                <w:rFonts w:ascii="Source Sans Pro" w:hAnsi="Source Sans Pro"/>
                <w:sz w:val="20"/>
                <w:szCs w:val="20"/>
              </w:rPr>
              <w:t>g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roup, working pro-actively and constructively with the relevant teams </w:t>
            </w:r>
            <w:r w:rsidR="00035F03">
              <w:rPr>
                <w:rFonts w:ascii="Source Sans Pro" w:hAnsi="Source Sans Pro"/>
                <w:sz w:val="20"/>
                <w:szCs w:val="20"/>
              </w:rPr>
              <w:t>to</w:t>
            </w:r>
            <w:r w:rsidRPr="008B6664">
              <w:rPr>
                <w:rFonts w:ascii="Source Sans Pro" w:hAnsi="Source Sans Pro"/>
                <w:sz w:val="20"/>
                <w:szCs w:val="20"/>
              </w:rPr>
              <w:t xml:space="preserve"> support cross-functional collaboration  </w:t>
            </w:r>
          </w:p>
          <w:p w14:paraId="16D06331" w14:textId="77777777" w:rsidR="000067E3" w:rsidRPr="00854BDE" w:rsidRDefault="000067E3" w:rsidP="00854BDE">
            <w:pPr>
              <w:spacing w:after="0" w:line="240" w:lineRule="auto"/>
              <w:ind w:left="720"/>
              <w:rPr>
                <w:rFonts w:eastAsia="Calibri" w:cs="Calibri"/>
                <w:sz w:val="20"/>
                <w:szCs w:val="20"/>
                <w:lang w:eastAsia="en-US"/>
              </w:rPr>
            </w:pPr>
          </w:p>
          <w:p w14:paraId="1484ED26" w14:textId="2F6DC409" w:rsidR="005766D4" w:rsidRPr="00854BDE" w:rsidRDefault="005766D4" w:rsidP="00854BDE">
            <w:pPr>
              <w:numPr>
                <w:ilvl w:val="0"/>
                <w:numId w:val="3"/>
              </w:numPr>
              <w:spacing w:after="0" w:line="240" w:lineRule="auto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593987">
              <w:rPr>
                <w:rFonts w:cs="Calibri"/>
                <w:sz w:val="20"/>
                <w:szCs w:val="20"/>
              </w:rPr>
              <w:lastRenderedPageBreak/>
              <w:t xml:space="preserve">In conjunction with the </w:t>
            </w:r>
            <w:r w:rsidR="00BE5A7D" w:rsidRPr="00593987">
              <w:rPr>
                <w:rFonts w:cs="Calibri"/>
                <w:sz w:val="20"/>
                <w:szCs w:val="20"/>
              </w:rPr>
              <w:t xml:space="preserve">Product teams, </w:t>
            </w:r>
            <w:r w:rsidRPr="00593987">
              <w:rPr>
                <w:rFonts w:cs="Calibri"/>
                <w:sz w:val="20"/>
                <w:szCs w:val="20"/>
              </w:rPr>
              <w:t>influence and contribute to the development of the future delivery roadmap</w:t>
            </w:r>
            <w:r w:rsidR="008B4EEC">
              <w:rPr>
                <w:rFonts w:cs="Calibri"/>
                <w:sz w:val="20"/>
                <w:szCs w:val="20"/>
              </w:rPr>
              <w:t>s</w:t>
            </w:r>
            <w:r w:rsidRPr="00593987">
              <w:rPr>
                <w:rFonts w:cs="Calibri"/>
                <w:sz w:val="20"/>
                <w:szCs w:val="20"/>
              </w:rPr>
              <w:t xml:space="preserve"> for WG&amp;S corporate solutions to maximise business performance and support </w:t>
            </w:r>
            <w:r w:rsidR="00BE5A7D" w:rsidRPr="00593987">
              <w:rPr>
                <w:rFonts w:cs="Calibri"/>
                <w:sz w:val="20"/>
                <w:szCs w:val="20"/>
              </w:rPr>
              <w:t xml:space="preserve">business </w:t>
            </w:r>
            <w:r w:rsidRPr="00593987">
              <w:rPr>
                <w:rFonts w:cs="Calibri"/>
                <w:sz w:val="20"/>
                <w:szCs w:val="20"/>
              </w:rPr>
              <w:t>objectives</w:t>
            </w:r>
          </w:p>
        </w:tc>
      </w:tr>
      <w:tr w:rsidR="005766D4" w:rsidRPr="00593987" w14:paraId="630499E6" w14:textId="77777777" w:rsidTr="00347D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D6E" w14:textId="77777777" w:rsidR="005766D4" w:rsidRPr="00593987" w:rsidRDefault="005766D4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lastRenderedPageBreak/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BB0" w14:textId="2C846B2A" w:rsidR="005766D4" w:rsidRPr="00593987" w:rsidRDefault="006B04FF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t>All</w:t>
            </w:r>
            <w:r w:rsidR="00BE5A7D" w:rsidRPr="00593987">
              <w:rPr>
                <w:rFonts w:cs="Calibri"/>
                <w:sz w:val="20"/>
                <w:szCs w:val="20"/>
              </w:rPr>
              <w:t>istair Murray</w:t>
            </w:r>
          </w:p>
        </w:tc>
      </w:tr>
      <w:tr w:rsidR="005766D4" w:rsidRPr="00593987" w14:paraId="4E1D6287" w14:textId="77777777" w:rsidTr="00347D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A06" w14:textId="77777777" w:rsidR="005766D4" w:rsidRPr="00593987" w:rsidRDefault="005766D4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07B" w14:textId="03139977" w:rsidR="005766D4" w:rsidRPr="00593987" w:rsidRDefault="00A97379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t>September 2021</w:t>
            </w:r>
          </w:p>
        </w:tc>
      </w:tr>
      <w:tr w:rsidR="005766D4" w:rsidRPr="00593987" w14:paraId="3D01E5FF" w14:textId="77777777" w:rsidTr="00347D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B2" w14:textId="77777777" w:rsidR="005766D4" w:rsidRPr="00593987" w:rsidRDefault="005766D4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4D6" w14:textId="0CA14C41" w:rsidR="005766D4" w:rsidRPr="00593987" w:rsidRDefault="001A5A63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t>Kirsty Morris</w:t>
            </w:r>
          </w:p>
        </w:tc>
      </w:tr>
      <w:tr w:rsidR="005766D4" w:rsidRPr="00593987" w14:paraId="50C110F9" w14:textId="77777777" w:rsidTr="00347D8D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094" w14:textId="77777777" w:rsidR="005766D4" w:rsidRPr="00593987" w:rsidRDefault="005766D4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88B" w14:textId="6266C1DB" w:rsidR="005766D4" w:rsidRPr="00593987" w:rsidRDefault="001A5A63" w:rsidP="005766D4">
            <w:pPr>
              <w:rPr>
                <w:rFonts w:cs="Calibri"/>
                <w:sz w:val="20"/>
                <w:szCs w:val="20"/>
              </w:rPr>
            </w:pPr>
            <w:r w:rsidRPr="00593987">
              <w:rPr>
                <w:rFonts w:cs="Calibri"/>
                <w:sz w:val="20"/>
                <w:szCs w:val="20"/>
              </w:rPr>
              <w:t>6 October 2021</w:t>
            </w:r>
          </w:p>
        </w:tc>
      </w:tr>
    </w:tbl>
    <w:p w14:paraId="672A15C7" w14:textId="43FCA1C5" w:rsidR="002775AB" w:rsidRPr="00593987" w:rsidRDefault="002775AB">
      <w:pPr>
        <w:rPr>
          <w:sz w:val="20"/>
          <w:szCs w:val="20"/>
        </w:rPr>
      </w:pPr>
    </w:p>
    <w:p w14:paraId="47D17331" w14:textId="494BEA4F" w:rsidR="00593987" w:rsidRPr="00593987" w:rsidRDefault="00593987">
      <w:pPr>
        <w:rPr>
          <w:b/>
          <w:bCs/>
          <w:sz w:val="20"/>
          <w:szCs w:val="20"/>
        </w:rPr>
      </w:pPr>
      <w:r w:rsidRPr="00593987">
        <w:rPr>
          <w:b/>
          <w:bCs/>
          <w:sz w:val="20"/>
          <w:szCs w:val="20"/>
        </w:rPr>
        <w:t>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3150"/>
        <w:gridCol w:w="3114"/>
      </w:tblGrid>
      <w:tr w:rsidR="00593987" w:rsidRPr="00593987" w14:paraId="71E8C4D3" w14:textId="77777777" w:rsidTr="00593987">
        <w:trPr>
          <w:trHeight w:val="705"/>
        </w:trPr>
        <w:tc>
          <w:tcPr>
            <w:tcW w:w="3086" w:type="dxa"/>
            <w:hideMark/>
          </w:tcPr>
          <w:p w14:paraId="5FD0B161" w14:textId="77777777" w:rsidR="00593987" w:rsidRPr="005E6E96" w:rsidRDefault="00593987" w:rsidP="00593987">
            <w:pPr>
              <w:rPr>
                <w:sz w:val="20"/>
                <w:szCs w:val="20"/>
              </w:rPr>
            </w:pPr>
            <w:r w:rsidRPr="005E6E96">
              <w:rPr>
                <w:b/>
                <w:bCs/>
                <w:sz w:val="20"/>
                <w:szCs w:val="20"/>
              </w:rPr>
              <w:t>Relating and Networking</w:t>
            </w:r>
            <w:r w:rsidRPr="005E6E96">
              <w:rPr>
                <w:sz w:val="20"/>
                <w:szCs w:val="20"/>
              </w:rPr>
              <w:br/>
            </w:r>
            <w:r w:rsidRPr="005E6E96">
              <w:rPr>
                <w:sz w:val="20"/>
                <w:szCs w:val="20"/>
              </w:rPr>
              <w:br/>
              <w:t>• Establishes good relationships with customers and staff</w:t>
            </w:r>
            <w:r w:rsidRPr="005E6E96">
              <w:rPr>
                <w:sz w:val="20"/>
                <w:szCs w:val="20"/>
              </w:rPr>
              <w:br/>
              <w:t>• Builds wide and effective networks of contacts inside and outside the organisation</w:t>
            </w:r>
            <w:r w:rsidRPr="005E6E96">
              <w:rPr>
                <w:sz w:val="20"/>
                <w:szCs w:val="20"/>
              </w:rPr>
              <w:br/>
              <w:t>• Relates well to people at all levels</w:t>
            </w:r>
            <w:r w:rsidRPr="005E6E96">
              <w:rPr>
                <w:sz w:val="20"/>
                <w:szCs w:val="20"/>
              </w:rPr>
              <w:br/>
              <w:t>• Manages conflict</w:t>
            </w:r>
            <w:r w:rsidRPr="005E6E96">
              <w:rPr>
                <w:sz w:val="20"/>
                <w:szCs w:val="20"/>
              </w:rPr>
              <w:br/>
              <w:t>• Uses humour appropriately to enhance relationships with others</w:t>
            </w:r>
          </w:p>
        </w:tc>
        <w:tc>
          <w:tcPr>
            <w:tcW w:w="3150" w:type="dxa"/>
            <w:hideMark/>
          </w:tcPr>
          <w:p w14:paraId="6431D22B" w14:textId="77777777" w:rsidR="00593987" w:rsidRPr="005E6E96" w:rsidRDefault="00593987">
            <w:pPr>
              <w:rPr>
                <w:sz w:val="20"/>
                <w:szCs w:val="20"/>
              </w:rPr>
            </w:pPr>
            <w:r w:rsidRPr="005E6E96">
              <w:rPr>
                <w:b/>
                <w:bCs/>
                <w:sz w:val="20"/>
                <w:szCs w:val="20"/>
              </w:rPr>
              <w:t>Presenting and Communicating Information</w:t>
            </w:r>
            <w:r w:rsidRPr="005E6E96">
              <w:rPr>
                <w:sz w:val="20"/>
                <w:szCs w:val="20"/>
              </w:rPr>
              <w:br/>
            </w:r>
            <w:r w:rsidRPr="005E6E96">
              <w:rPr>
                <w:sz w:val="20"/>
                <w:szCs w:val="20"/>
              </w:rPr>
              <w:br/>
              <w:t>• Speaks clearly and fluently</w:t>
            </w:r>
            <w:r w:rsidRPr="005E6E96">
              <w:rPr>
                <w:sz w:val="20"/>
                <w:szCs w:val="20"/>
              </w:rPr>
              <w:br/>
              <w:t>• Expresses opinions, information and key points of an argument clearly</w:t>
            </w:r>
            <w:r w:rsidRPr="005E6E96">
              <w:rPr>
                <w:sz w:val="20"/>
                <w:szCs w:val="20"/>
              </w:rPr>
              <w:br/>
              <w:t>• Makes presentations and undertakes public speaking with skill and confidence</w:t>
            </w:r>
            <w:r w:rsidRPr="005E6E96">
              <w:rPr>
                <w:sz w:val="20"/>
                <w:szCs w:val="20"/>
              </w:rPr>
              <w:br/>
              <w:t>• Responds quickly to the needs of an audience and to their reactions and feedback</w:t>
            </w:r>
            <w:r w:rsidRPr="005E6E96">
              <w:rPr>
                <w:sz w:val="20"/>
                <w:szCs w:val="20"/>
              </w:rPr>
              <w:br/>
              <w:t>• Projects credibility</w:t>
            </w:r>
          </w:p>
        </w:tc>
        <w:tc>
          <w:tcPr>
            <w:tcW w:w="3114" w:type="dxa"/>
            <w:hideMark/>
          </w:tcPr>
          <w:p w14:paraId="6658A618" w14:textId="77777777" w:rsidR="00593987" w:rsidRPr="005E6E96" w:rsidRDefault="00593987">
            <w:pPr>
              <w:rPr>
                <w:sz w:val="20"/>
                <w:szCs w:val="20"/>
              </w:rPr>
            </w:pPr>
            <w:r w:rsidRPr="005E6E96">
              <w:rPr>
                <w:b/>
                <w:bCs/>
                <w:sz w:val="20"/>
                <w:szCs w:val="20"/>
              </w:rPr>
              <w:t>Writing and Reporting</w:t>
            </w:r>
            <w:r w:rsidRPr="005E6E96">
              <w:rPr>
                <w:sz w:val="20"/>
                <w:szCs w:val="20"/>
              </w:rPr>
              <w:br/>
            </w:r>
            <w:r w:rsidRPr="005E6E96">
              <w:rPr>
                <w:sz w:val="20"/>
                <w:szCs w:val="20"/>
              </w:rPr>
              <w:br/>
              <w:t>• Writes clearly, succinctly and correctly</w:t>
            </w:r>
            <w:r w:rsidRPr="005E6E96">
              <w:rPr>
                <w:sz w:val="20"/>
                <w:szCs w:val="20"/>
              </w:rPr>
              <w:br/>
              <w:t>• Writes convincingly in an engaging and expressive manner Avoids the unnecessary use of jargon or complicated language</w:t>
            </w:r>
            <w:r w:rsidRPr="005E6E96">
              <w:rPr>
                <w:sz w:val="20"/>
                <w:szCs w:val="20"/>
              </w:rPr>
              <w:br/>
              <w:t>• Writes in a well-structured and logical way</w:t>
            </w:r>
            <w:r w:rsidRPr="005E6E96">
              <w:rPr>
                <w:sz w:val="20"/>
                <w:szCs w:val="20"/>
              </w:rPr>
              <w:br/>
              <w:t>• Structures information to meet the needs and understanding of the intended audience</w:t>
            </w:r>
          </w:p>
        </w:tc>
      </w:tr>
      <w:tr w:rsidR="00593987" w:rsidRPr="00593987" w14:paraId="762708A1" w14:textId="77777777" w:rsidTr="00593987">
        <w:trPr>
          <w:trHeight w:val="705"/>
        </w:trPr>
        <w:tc>
          <w:tcPr>
            <w:tcW w:w="3086" w:type="dxa"/>
            <w:hideMark/>
          </w:tcPr>
          <w:p w14:paraId="077F4709" w14:textId="41160172" w:rsidR="00593987" w:rsidRPr="00593987" w:rsidRDefault="00593987" w:rsidP="005939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9398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Delivering Results &amp; Meeting Customer Expectations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Focuses on customer needs and satisfaction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Sets high standards for quality and quantity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Monitors and maintains quality and productivity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 xml:space="preserve">• Works in a systematic, methodical and orderly way 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Consistently achieves project goals</w:t>
            </w:r>
          </w:p>
        </w:tc>
        <w:tc>
          <w:tcPr>
            <w:tcW w:w="3150" w:type="dxa"/>
            <w:hideMark/>
          </w:tcPr>
          <w:p w14:paraId="38D4D3C6" w14:textId="77777777" w:rsidR="00593987" w:rsidRPr="00593987" w:rsidRDefault="00593987" w:rsidP="005939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59398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Analysing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Analyses numerical data, verbal data and all other sources of information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Breaks information into component parts, patterns and relationships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Probes for further information or greater understanding of a problem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Makes rational judgements from the available information and analysis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Produces workable solutions to a range of problems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 xml:space="preserve">• Demonstrates an understanding </w:t>
            </w:r>
            <w:r w:rsidRPr="0059398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of how one issue may be a part of a much larger system.</w:t>
            </w:r>
          </w:p>
        </w:tc>
        <w:tc>
          <w:tcPr>
            <w:tcW w:w="3114" w:type="dxa"/>
            <w:hideMark/>
          </w:tcPr>
          <w:p w14:paraId="57CD32E9" w14:textId="50F38905" w:rsidR="00593987" w:rsidRPr="00593987" w:rsidRDefault="00C91F21" w:rsidP="005939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8B66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Applying Expertise and Technology</w:t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Applies specialist and detailed technical expertise</w:t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Develops job knowledge and expertise through continual professional development</w:t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Shares expertise and knowledge with others</w:t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Uses technology to achieve work objectives</w:t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>• Demonstrates appropriate physical co-ordination and endurance, manual skill, spatial awareness and dexterity</w:t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br/>
              <w:t xml:space="preserve">• Demonstrates an understanding </w:t>
            </w:r>
            <w:r w:rsidRPr="008B666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of different organisational departments and functions</w:t>
            </w:r>
          </w:p>
        </w:tc>
      </w:tr>
    </w:tbl>
    <w:p w14:paraId="37E1B835" w14:textId="77777777" w:rsidR="00593987" w:rsidRPr="00593987" w:rsidRDefault="00593987">
      <w:pPr>
        <w:rPr>
          <w:b/>
          <w:bCs/>
          <w:sz w:val="20"/>
          <w:szCs w:val="20"/>
        </w:rPr>
      </w:pPr>
    </w:p>
    <w:p w14:paraId="42CE9AA3" w14:textId="33C56C8A" w:rsidR="00126AA5" w:rsidRPr="00593987" w:rsidRDefault="00126AA5">
      <w:pPr>
        <w:rPr>
          <w:b/>
          <w:bCs/>
          <w:sz w:val="20"/>
          <w:szCs w:val="20"/>
        </w:rPr>
      </w:pPr>
      <w:r w:rsidRPr="00593987">
        <w:rPr>
          <w:b/>
          <w:bCs/>
          <w:sz w:val="20"/>
          <w:szCs w:val="20"/>
        </w:rPr>
        <w:t>Skill</w:t>
      </w:r>
      <w:r w:rsidR="00593987" w:rsidRPr="00593987">
        <w:rPr>
          <w:b/>
          <w:bCs/>
          <w:sz w:val="20"/>
          <w:szCs w:val="20"/>
        </w:rPr>
        <w:t>s</w:t>
      </w:r>
      <w:r w:rsidRPr="00593987">
        <w:rPr>
          <w:b/>
          <w:bCs/>
          <w:sz w:val="20"/>
          <w:szCs w:val="20"/>
        </w:rPr>
        <w:t xml:space="preserve"> and </w:t>
      </w:r>
      <w:r w:rsidR="00593987" w:rsidRPr="00593987">
        <w:rPr>
          <w:b/>
          <w:bCs/>
          <w:sz w:val="20"/>
          <w:szCs w:val="20"/>
        </w:rPr>
        <w:t>E</w:t>
      </w:r>
      <w:r w:rsidRPr="00593987">
        <w:rPr>
          <w:b/>
          <w:bCs/>
          <w:sz w:val="20"/>
          <w:szCs w:val="20"/>
        </w:rPr>
        <w:t>xperience</w:t>
      </w:r>
    </w:p>
    <w:p w14:paraId="2C56EA72" w14:textId="6819A605" w:rsidR="00FD0A81" w:rsidRDefault="00FD0A81" w:rsidP="0085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FD0A81">
        <w:rPr>
          <w:rFonts w:eastAsia="Calibri" w:cs="Times New Roman"/>
          <w:color w:val="000000"/>
          <w:sz w:val="20"/>
          <w:szCs w:val="20"/>
          <w:lang w:eastAsia="en-US"/>
        </w:rPr>
        <w:t>Degree educated or equivalent experience in a Solution Architecture discipline</w:t>
      </w:r>
    </w:p>
    <w:p w14:paraId="49B7093E" w14:textId="4C41351C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>
        <w:rPr>
          <w:rFonts w:eastAsia="Calibri" w:cs="Times New Roman"/>
          <w:color w:val="000000"/>
          <w:sz w:val="20"/>
          <w:szCs w:val="20"/>
          <w:lang w:eastAsia="en-US"/>
        </w:rPr>
        <w:t>Technical k</w:t>
      </w: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nowledge of </w:t>
      </w:r>
      <w:r>
        <w:rPr>
          <w:rFonts w:eastAsia="Calibri" w:cs="Times New Roman"/>
          <w:color w:val="000000"/>
          <w:sz w:val="20"/>
          <w:szCs w:val="20"/>
          <w:lang w:eastAsia="en-US"/>
        </w:rPr>
        <w:t>one or more of the following: on-premise</w:t>
      </w: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 infrastructure</w:t>
      </w:r>
      <w:r>
        <w:rPr>
          <w:rFonts w:eastAsia="Calibri" w:cs="Times New Roman"/>
          <w:color w:val="000000"/>
          <w:sz w:val="20"/>
          <w:szCs w:val="20"/>
          <w:lang w:eastAsia="en-US"/>
        </w:rPr>
        <w:t>, cloud capabilities, networking, data platforms, integration, cyber security or workplace capabilities</w:t>
      </w:r>
    </w:p>
    <w:p w14:paraId="4F99BC57" w14:textId="77777777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FD0A81">
        <w:rPr>
          <w:rFonts w:eastAsia="Calibri" w:cs="Times New Roman"/>
          <w:color w:val="000000"/>
          <w:sz w:val="20"/>
          <w:szCs w:val="20"/>
          <w:lang w:eastAsia="en-US"/>
        </w:rPr>
        <w:t>Experience of delivering in a technical environment (Microsoft Azure experience advantageous)</w:t>
      </w:r>
    </w:p>
    <w:p w14:paraId="3371EB2F" w14:textId="4CF434C8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Strong written and oral communication, process, logical thinking and organisational skills  </w:t>
      </w:r>
    </w:p>
    <w:p w14:paraId="4B88EF5C" w14:textId="77777777" w:rsidR="00FD0A81" w:rsidRDefault="00854BDE" w:rsidP="0085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>Strong analytical, conceptual and problem-solving abilities</w:t>
      </w:r>
    </w:p>
    <w:p w14:paraId="5F537C2E" w14:textId="4AEBF953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Excellent </w:t>
      </w:r>
      <w:r>
        <w:rPr>
          <w:rFonts w:eastAsia="Calibri" w:cs="Times New Roman"/>
          <w:color w:val="000000"/>
          <w:sz w:val="20"/>
          <w:szCs w:val="20"/>
          <w:lang w:eastAsia="en-US"/>
        </w:rPr>
        <w:t xml:space="preserve">solution </w:t>
      </w: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architecture and </w:t>
      </w:r>
      <w:r>
        <w:rPr>
          <w:rFonts w:eastAsia="Calibri" w:cs="Times New Roman"/>
          <w:color w:val="000000"/>
          <w:sz w:val="20"/>
          <w:szCs w:val="20"/>
          <w:lang w:eastAsia="en-US"/>
        </w:rPr>
        <w:t>design</w:t>
      </w: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 documentation skills  </w:t>
      </w:r>
    </w:p>
    <w:p w14:paraId="458F468C" w14:textId="348021F4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>Experience of developing strategic plans and systems design and development is desirable</w:t>
      </w:r>
    </w:p>
    <w:p w14:paraId="4069F202" w14:textId="5AAE73E5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Strong knowledge of </w:t>
      </w:r>
      <w:r>
        <w:rPr>
          <w:rFonts w:eastAsia="Calibri" w:cs="Times New Roman"/>
          <w:color w:val="000000"/>
          <w:sz w:val="20"/>
          <w:szCs w:val="20"/>
          <w:lang w:eastAsia="en-US"/>
        </w:rPr>
        <w:t>technology</w:t>
      </w:r>
      <w:r w:rsidRPr="008B6664">
        <w:rPr>
          <w:rFonts w:eastAsia="Calibri" w:cs="Times New Roman"/>
          <w:color w:val="000000"/>
          <w:sz w:val="20"/>
          <w:szCs w:val="20"/>
          <w:lang w:eastAsia="en-US"/>
        </w:rPr>
        <w:t xml:space="preserve"> evaluation principles and practice</w:t>
      </w:r>
    </w:p>
    <w:p w14:paraId="0E75DD10" w14:textId="30CE5392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FD0A81">
        <w:rPr>
          <w:rFonts w:eastAsia="Calibri" w:cs="Times New Roman"/>
          <w:color w:val="000000"/>
          <w:sz w:val="20"/>
          <w:szCs w:val="20"/>
          <w:lang w:eastAsia="en-US"/>
        </w:rPr>
        <w:t>Ability to engage with and influence key stakeholders across multiple markets and levels</w:t>
      </w:r>
    </w:p>
    <w:p w14:paraId="7668C494" w14:textId="29987785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FD0A81">
        <w:rPr>
          <w:rFonts w:eastAsia="Calibri" w:cs="Times New Roman"/>
          <w:color w:val="000000"/>
          <w:sz w:val="20"/>
          <w:szCs w:val="20"/>
          <w:lang w:eastAsia="en-US"/>
        </w:rPr>
        <w:t>Proven track record of introducing and delivering change programmes</w:t>
      </w:r>
    </w:p>
    <w:p w14:paraId="592DF54B" w14:textId="6E8565E9" w:rsid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FD0A81">
        <w:rPr>
          <w:rFonts w:eastAsia="Calibri" w:cs="Times New Roman"/>
          <w:color w:val="000000"/>
          <w:sz w:val="20"/>
          <w:szCs w:val="20"/>
          <w:lang w:eastAsia="en-US"/>
        </w:rPr>
        <w:t>Knowledge of core business processes within a distilling, manufacturing or distribution environment advantageous</w:t>
      </w:r>
    </w:p>
    <w:p w14:paraId="0EA391A9" w14:textId="6A358AC6" w:rsidR="00FD0A81" w:rsidRPr="00FD0A81" w:rsidRDefault="00FD0A81" w:rsidP="00FD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rPr>
          <w:rFonts w:eastAsia="Calibri" w:cs="Times New Roman"/>
          <w:color w:val="000000"/>
          <w:sz w:val="20"/>
          <w:szCs w:val="20"/>
          <w:lang w:eastAsia="en-US"/>
        </w:rPr>
      </w:pPr>
      <w:r w:rsidRPr="00FD0A81">
        <w:rPr>
          <w:rFonts w:eastAsia="Calibri" w:cs="Times New Roman"/>
          <w:color w:val="000000"/>
          <w:sz w:val="20"/>
          <w:szCs w:val="20"/>
          <w:lang w:eastAsia="en-US"/>
        </w:rPr>
        <w:t>Experience of working in both waterfall and agile delivery environments</w:t>
      </w:r>
    </w:p>
    <w:p w14:paraId="2D75BD44" w14:textId="3F084221" w:rsidR="00854BDE" w:rsidRPr="00593987" w:rsidRDefault="00FD0A81" w:rsidP="0012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Experience </w:t>
      </w:r>
      <w:r w:rsidRPr="00593987">
        <w:rPr>
          <w:sz w:val="20"/>
          <w:szCs w:val="20"/>
        </w:rPr>
        <w:t>within a manufacturing/FMCG environment</w:t>
      </w:r>
      <w:r>
        <w:rPr>
          <w:sz w:val="20"/>
          <w:szCs w:val="20"/>
        </w:rPr>
        <w:t xml:space="preserve"> advantageous/desirable</w:t>
      </w:r>
    </w:p>
    <w:sectPr w:rsidR="00854BDE" w:rsidRPr="00593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A770E"/>
    <w:multiLevelType w:val="hybridMultilevel"/>
    <w:tmpl w:val="6C42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A18"/>
    <w:multiLevelType w:val="hybridMultilevel"/>
    <w:tmpl w:val="BD56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0B21"/>
    <w:multiLevelType w:val="hybridMultilevel"/>
    <w:tmpl w:val="B6C64AAA"/>
    <w:lvl w:ilvl="0" w:tplc="AEEC221E">
      <w:start w:val="1"/>
      <w:numFmt w:val="bullet"/>
      <w:pStyle w:val="NormalBol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E75DA"/>
    <w:multiLevelType w:val="hybridMultilevel"/>
    <w:tmpl w:val="F47A8D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02655B"/>
    <w:multiLevelType w:val="hybridMultilevel"/>
    <w:tmpl w:val="8112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657319">
    <w:abstractNumId w:val="8"/>
  </w:num>
  <w:num w:numId="2" w16cid:durableId="621770800">
    <w:abstractNumId w:val="3"/>
  </w:num>
  <w:num w:numId="3" w16cid:durableId="26761434">
    <w:abstractNumId w:val="4"/>
  </w:num>
  <w:num w:numId="4" w16cid:durableId="1917089937">
    <w:abstractNumId w:val="6"/>
  </w:num>
  <w:num w:numId="5" w16cid:durableId="1735856924">
    <w:abstractNumId w:val="0"/>
  </w:num>
  <w:num w:numId="6" w16cid:durableId="1793860568">
    <w:abstractNumId w:val="5"/>
  </w:num>
  <w:num w:numId="7" w16cid:durableId="1183712941">
    <w:abstractNumId w:val="7"/>
  </w:num>
  <w:num w:numId="8" w16cid:durableId="43649013">
    <w:abstractNumId w:val="2"/>
  </w:num>
  <w:num w:numId="9" w16cid:durableId="62027670">
    <w:abstractNumId w:val="0"/>
  </w:num>
  <w:num w:numId="10" w16cid:durableId="110469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067E3"/>
    <w:rsid w:val="00022336"/>
    <w:rsid w:val="00035F03"/>
    <w:rsid w:val="00126AA5"/>
    <w:rsid w:val="00130698"/>
    <w:rsid w:val="001A5A63"/>
    <w:rsid w:val="001F41EE"/>
    <w:rsid w:val="0022509C"/>
    <w:rsid w:val="002775AB"/>
    <w:rsid w:val="003232A4"/>
    <w:rsid w:val="00327720"/>
    <w:rsid w:val="00347D8D"/>
    <w:rsid w:val="003639F4"/>
    <w:rsid w:val="003A078B"/>
    <w:rsid w:val="003B6A57"/>
    <w:rsid w:val="003E6830"/>
    <w:rsid w:val="003F027F"/>
    <w:rsid w:val="00436D32"/>
    <w:rsid w:val="004D3AE7"/>
    <w:rsid w:val="0054381F"/>
    <w:rsid w:val="005766D4"/>
    <w:rsid w:val="00583E3A"/>
    <w:rsid w:val="00583F2B"/>
    <w:rsid w:val="00593987"/>
    <w:rsid w:val="005D36D7"/>
    <w:rsid w:val="005E6E96"/>
    <w:rsid w:val="00622B18"/>
    <w:rsid w:val="006354D5"/>
    <w:rsid w:val="00645F29"/>
    <w:rsid w:val="006654C9"/>
    <w:rsid w:val="006B04FF"/>
    <w:rsid w:val="007A5916"/>
    <w:rsid w:val="00801CD5"/>
    <w:rsid w:val="00815BE4"/>
    <w:rsid w:val="008200A2"/>
    <w:rsid w:val="00837A72"/>
    <w:rsid w:val="0085214C"/>
    <w:rsid w:val="00854BDE"/>
    <w:rsid w:val="008B4EEC"/>
    <w:rsid w:val="008D65A4"/>
    <w:rsid w:val="009C4F52"/>
    <w:rsid w:val="00A6767B"/>
    <w:rsid w:val="00A96C52"/>
    <w:rsid w:val="00A97379"/>
    <w:rsid w:val="00B34392"/>
    <w:rsid w:val="00B541BB"/>
    <w:rsid w:val="00B718FC"/>
    <w:rsid w:val="00BE16A8"/>
    <w:rsid w:val="00BE5A7D"/>
    <w:rsid w:val="00BF2B6B"/>
    <w:rsid w:val="00C114BA"/>
    <w:rsid w:val="00C26C2E"/>
    <w:rsid w:val="00C30142"/>
    <w:rsid w:val="00C56CCD"/>
    <w:rsid w:val="00C91F21"/>
    <w:rsid w:val="00D00F86"/>
    <w:rsid w:val="00DC6A19"/>
    <w:rsid w:val="00E133FF"/>
    <w:rsid w:val="00E56C9B"/>
    <w:rsid w:val="00F94431"/>
    <w:rsid w:val="00FB77A8"/>
    <w:rsid w:val="00FC11A6"/>
    <w:rsid w:val="00F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NormalBold">
    <w:name w:val="Normal + Bold"/>
    <w:basedOn w:val="Normal"/>
    <w:rsid w:val="005766D4"/>
    <w:pPr>
      <w:numPr>
        <w:numId w:val="2"/>
      </w:numPr>
      <w:spacing w:after="0" w:line="240" w:lineRule="auto"/>
    </w:pPr>
    <w:rPr>
      <w:rFonts w:ascii="Humnst777 BT" w:eastAsia="Times New Roman" w:hAnsi="Humnst777 BT" w:cs="Times New Roman"/>
      <w:b/>
      <w:sz w:val="20"/>
      <w:szCs w:val="20"/>
      <w:lang w:eastAsia="en-US"/>
    </w:rPr>
  </w:style>
  <w:style w:type="paragraph" w:customStyle="1" w:styleId="Default">
    <w:name w:val="Default"/>
    <w:rsid w:val="005766D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59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24C392BC4FE40AC675F046D27BD88" ma:contentTypeVersion="12" ma:contentTypeDescription="Create a new document." ma:contentTypeScope="" ma:versionID="897330a7db993d499b9f389bb7ca8975">
  <xsd:schema xmlns:xsd="http://www.w3.org/2001/XMLSchema" xmlns:xs="http://www.w3.org/2001/XMLSchema" xmlns:p="http://schemas.microsoft.com/office/2006/metadata/properties" xmlns:ns3="2da3b242-be53-4c84-bed8-c33d0eecb786" xmlns:ns4="71c2d8e8-55e3-447b-8942-4fcd4da5392b" targetNamespace="http://schemas.microsoft.com/office/2006/metadata/properties" ma:root="true" ma:fieldsID="0e1c9e518efa37b4021b18f8e32111ac" ns3:_="" ns4:_="">
    <xsd:import namespace="2da3b242-be53-4c84-bed8-c33d0eecb786"/>
    <xsd:import namespace="71c2d8e8-55e3-447b-8942-4fcd4da53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3b242-be53-4c84-bed8-c33d0eecb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2d8e8-55e3-447b-8942-4fcd4da53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AC477-58A4-48B6-B73D-C56A7E468867}">
  <ds:schemaRefs>
    <ds:schemaRef ds:uri="2da3b242-be53-4c84-bed8-c33d0eecb78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2d8e8-55e3-447b-8942-4fcd4da5392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B9F709-CD45-48C8-9932-FEA04259D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3b242-be53-4c84-bed8-c33d0eecb786"/>
    <ds:schemaRef ds:uri="71c2d8e8-55e3-447b-8942-4fcd4da53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34C9D-C4F3-4803-A141-169A9277D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Megan Hay</cp:lastModifiedBy>
  <cp:revision>2</cp:revision>
  <dcterms:created xsi:type="dcterms:W3CDTF">2026-01-15T16:06:00Z</dcterms:created>
  <dcterms:modified xsi:type="dcterms:W3CDTF">2026-01-15T16:06:00Z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0x010100BF224C392BC4FE40AC675F046D27BD88</vt:lpwstr>
  </property>
</Properties>
</file>