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907"/>
      </w:tblGrid>
      <w:tr w:rsidR="004A6180" w:rsidRPr="00F12F35" w14:paraId="3D1E34CF" w14:textId="77777777" w:rsidTr="006B3960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2FAD53B6" w14:textId="77777777" w:rsidR="004A6180" w:rsidRPr="00F87123" w:rsidRDefault="004A6180" w:rsidP="006B3960">
            <w:pPr>
              <w:pStyle w:val="Sansinterligne"/>
              <w:rPr>
                <w:rFonts w:ascii="Gill Sans MT" w:hAnsi="Gill Sans MT" w:cs="Calibri"/>
                <w:b/>
                <w:color w:val="000000"/>
              </w:rPr>
            </w:pPr>
            <w:r w:rsidRPr="00F87123">
              <w:rPr>
                <w:rFonts w:ascii="Gill Sans MT" w:hAnsi="Gill Sans MT" w:cs="Calibri"/>
                <w:b/>
                <w:color w:val="000000"/>
              </w:rPr>
              <w:t>Job Title</w:t>
            </w:r>
          </w:p>
        </w:tc>
        <w:tc>
          <w:tcPr>
            <w:tcW w:w="6907" w:type="dxa"/>
            <w:tcBorders>
              <w:top w:val="single" w:sz="4" w:space="0" w:color="767171"/>
            </w:tcBorders>
            <w:shd w:val="clear" w:color="auto" w:fill="auto"/>
          </w:tcPr>
          <w:p w14:paraId="27713580" w14:textId="3E8A195B" w:rsidR="004A6180" w:rsidRPr="00776678" w:rsidRDefault="00F12F35" w:rsidP="006B3960">
            <w:pPr>
              <w:pStyle w:val="Sansinterligne"/>
              <w:rPr>
                <w:rFonts w:ascii="Gill Sans MT" w:hAnsi="Gill Sans MT" w:cs="Calibri"/>
                <w:b/>
                <w:color w:val="000000"/>
                <w:lang w:val="fr-FR"/>
              </w:rPr>
            </w:pPr>
            <w:r>
              <w:rPr>
                <w:rFonts w:ascii="Gill Sans MT" w:hAnsi="Gill Sans MT" w:cs="Calibri"/>
                <w:b/>
                <w:color w:val="000000"/>
                <w:lang w:val="fr-FR"/>
              </w:rPr>
              <w:t xml:space="preserve">Stagiaire </w:t>
            </w:r>
            <w:r w:rsidR="00776678" w:rsidRPr="00776678">
              <w:rPr>
                <w:rFonts w:ascii="Gill Sans MT" w:hAnsi="Gill Sans MT" w:cs="Calibri"/>
                <w:b/>
                <w:color w:val="000000"/>
                <w:lang w:val="fr-FR"/>
              </w:rPr>
              <w:t>ASSISTANT</w:t>
            </w:r>
            <w:r w:rsidR="00776678">
              <w:rPr>
                <w:rFonts w:ascii="Gill Sans MT" w:hAnsi="Gill Sans MT" w:cs="Calibri"/>
                <w:b/>
                <w:color w:val="000000"/>
                <w:lang w:val="fr-FR"/>
              </w:rPr>
              <w:t>.</w:t>
            </w:r>
            <w:r w:rsidR="00776678" w:rsidRPr="00776678">
              <w:rPr>
                <w:rFonts w:ascii="Gill Sans MT" w:hAnsi="Gill Sans MT" w:cs="Calibri"/>
                <w:b/>
                <w:color w:val="000000"/>
                <w:lang w:val="fr-FR"/>
              </w:rPr>
              <w:t>E CHEF DE MARQUE</w:t>
            </w:r>
            <w:r w:rsidR="00ED3BCC">
              <w:rPr>
                <w:rFonts w:ascii="Gill Sans MT" w:hAnsi="Gill Sans MT" w:cs="Calibri"/>
                <w:b/>
                <w:color w:val="000000"/>
                <w:lang w:val="fr-FR"/>
              </w:rPr>
              <w:t>S</w:t>
            </w:r>
            <w:r w:rsidR="00776678">
              <w:rPr>
                <w:rFonts w:ascii="Gill Sans MT" w:hAnsi="Gill Sans MT" w:cs="Calibri"/>
                <w:b/>
                <w:color w:val="000000"/>
                <w:lang w:val="fr-FR"/>
              </w:rPr>
              <w:t xml:space="preserve"> </w:t>
            </w:r>
            <w:r w:rsidR="00221362">
              <w:rPr>
                <w:rFonts w:ascii="Gill Sans MT" w:hAnsi="Gill Sans MT" w:cs="Calibri"/>
                <w:b/>
                <w:color w:val="000000"/>
                <w:lang w:val="fr-FR"/>
              </w:rPr>
              <w:t>MONKEY SHOULDER</w:t>
            </w:r>
          </w:p>
        </w:tc>
      </w:tr>
      <w:tr w:rsidR="004A6180" w:rsidRPr="00F87123" w14:paraId="3017CABE" w14:textId="77777777" w:rsidTr="006B3960">
        <w:trPr>
          <w:trHeight w:val="233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4ADCC3B6" w14:textId="77777777" w:rsidR="004A6180" w:rsidRPr="00F87123" w:rsidRDefault="004A6180" w:rsidP="006B3960">
            <w:pPr>
              <w:pStyle w:val="Sansinterligne"/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907" w:type="dxa"/>
            <w:tcBorders>
              <w:top w:val="single" w:sz="4" w:space="0" w:color="767171"/>
            </w:tcBorders>
            <w:shd w:val="clear" w:color="auto" w:fill="auto"/>
          </w:tcPr>
          <w:p w14:paraId="124D0725" w14:textId="23E97E10" w:rsidR="004A6180" w:rsidRPr="00F87123" w:rsidRDefault="00221362" w:rsidP="006B3960">
            <w:pPr>
              <w:pStyle w:val="Sansinterligne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Stage</w:t>
            </w:r>
          </w:p>
        </w:tc>
      </w:tr>
      <w:tr w:rsidR="004A6180" w:rsidRPr="00F87123" w14:paraId="715C376B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1BC9AC9F" w14:textId="77777777" w:rsidR="004A6180" w:rsidRPr="00F87123" w:rsidRDefault="004A6180" w:rsidP="006B3960">
            <w:pPr>
              <w:pStyle w:val="Sansinterligne"/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907" w:type="dxa"/>
            <w:shd w:val="clear" w:color="auto" w:fill="auto"/>
          </w:tcPr>
          <w:p w14:paraId="22F0222F" w14:textId="77777777" w:rsidR="004A6180" w:rsidRPr="00F87123" w:rsidRDefault="009C1A99" w:rsidP="006B3960">
            <w:pPr>
              <w:pStyle w:val="Sansinterligne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</w:rPr>
              <w:t>St Ouen</w:t>
            </w:r>
          </w:p>
        </w:tc>
      </w:tr>
      <w:tr w:rsidR="004A6180" w:rsidRPr="00F87123" w14:paraId="2735B1B6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79C6F59C" w14:textId="77777777" w:rsidR="004A6180" w:rsidRPr="00F87123" w:rsidRDefault="004A6180" w:rsidP="006B3960">
            <w:pPr>
              <w:pStyle w:val="Sansinterligne"/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6907" w:type="dxa"/>
            <w:shd w:val="clear" w:color="auto" w:fill="auto"/>
          </w:tcPr>
          <w:p w14:paraId="60C957AF" w14:textId="77777777" w:rsidR="004A6180" w:rsidRPr="00F87123" w:rsidRDefault="009C1A99" w:rsidP="006B3960">
            <w:pPr>
              <w:pStyle w:val="Sansinterligne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</w:rPr>
              <w:t>Marketing</w:t>
            </w:r>
            <w:r w:rsidR="00F87123" w:rsidRPr="00F87123">
              <w:rPr>
                <w:rFonts w:ascii="Gill Sans MT" w:hAnsi="Gill Sans MT" w:cs="Calibri"/>
                <w:color w:val="000000"/>
                <w:sz w:val="20"/>
                <w:szCs w:val="20"/>
              </w:rPr>
              <w:t xml:space="preserve"> – WG&amp;S France</w:t>
            </w:r>
          </w:p>
        </w:tc>
      </w:tr>
      <w:tr w:rsidR="004A6180" w:rsidRPr="00F12F35" w14:paraId="54F83C97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51EF647D" w14:textId="77777777" w:rsidR="004A6180" w:rsidRPr="00F87123" w:rsidRDefault="004A6180" w:rsidP="006B3960">
            <w:pPr>
              <w:pStyle w:val="Sansinterligne"/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  <w:t>Function</w:t>
            </w:r>
          </w:p>
        </w:tc>
        <w:tc>
          <w:tcPr>
            <w:tcW w:w="6907" w:type="dxa"/>
            <w:shd w:val="clear" w:color="auto" w:fill="auto"/>
          </w:tcPr>
          <w:p w14:paraId="67EEF34A" w14:textId="6A86AC23" w:rsidR="004A6180" w:rsidRPr="00F87123" w:rsidRDefault="009C1A99" w:rsidP="006B3960">
            <w:pPr>
              <w:pStyle w:val="Sansinterligne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Assistant</w:t>
            </w:r>
            <w:r w:rsidR="00776678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.e</w:t>
            </w: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="0004696F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C</w:t>
            </w: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hef de </w:t>
            </w:r>
            <w:r w:rsidR="0004696F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M</w:t>
            </w: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arque</w:t>
            </w:r>
            <w:r w:rsidR="00221362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Monkey Shoulder</w:t>
            </w:r>
          </w:p>
        </w:tc>
      </w:tr>
      <w:tr w:rsidR="004A6180" w:rsidRPr="00F12F35" w14:paraId="5A6A3764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52395D79" w14:textId="77777777" w:rsidR="004A6180" w:rsidRPr="00F87123" w:rsidRDefault="004A6180" w:rsidP="006B3960">
            <w:pPr>
              <w:pStyle w:val="Sansinterligne"/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907" w:type="dxa"/>
            <w:shd w:val="clear" w:color="auto" w:fill="auto"/>
          </w:tcPr>
          <w:p w14:paraId="7DC3C504" w14:textId="22AD6B66" w:rsidR="004A6180" w:rsidRPr="00D419D6" w:rsidRDefault="00221362" w:rsidP="006B3960">
            <w:pPr>
              <w:pStyle w:val="Sansinterligne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D419D6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Quitterie LETE</w:t>
            </w:r>
            <w:r w:rsidR="00F87123" w:rsidRPr="00D419D6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– </w:t>
            </w:r>
            <w:r w:rsidR="00D419D6" w:rsidRPr="00D419D6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Chef de m</w:t>
            </w:r>
            <w:r w:rsidR="00D419D6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arque Senior</w:t>
            </w:r>
          </w:p>
        </w:tc>
      </w:tr>
      <w:tr w:rsidR="004A6180" w:rsidRPr="00F87123" w14:paraId="32FEFD3E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37DBEACB" w14:textId="77777777" w:rsidR="004A6180" w:rsidRPr="00F87123" w:rsidRDefault="004A6180" w:rsidP="006B3960">
            <w:pPr>
              <w:pStyle w:val="Sansinterligne"/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907" w:type="dxa"/>
            <w:shd w:val="clear" w:color="auto" w:fill="auto"/>
          </w:tcPr>
          <w:p w14:paraId="0ACB4411" w14:textId="77777777" w:rsidR="004A6180" w:rsidRPr="00F87123" w:rsidRDefault="00F87123" w:rsidP="006B3960">
            <w:pPr>
              <w:pStyle w:val="Sansinterligne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</w:rPr>
              <w:t>N/A</w:t>
            </w:r>
          </w:p>
        </w:tc>
      </w:tr>
      <w:tr w:rsidR="004A6180" w:rsidRPr="00F12F35" w14:paraId="174FFA25" w14:textId="77777777" w:rsidTr="006B3960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B460EC8" w14:textId="77777777" w:rsidR="00F87123" w:rsidRDefault="004A6180" w:rsidP="006B3960">
            <w:pPr>
              <w:pStyle w:val="Sansinterligne"/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</w:pPr>
            <w:r w:rsidRPr="00F12F35"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  <w:t xml:space="preserve">Role Purpose </w:t>
            </w:r>
          </w:p>
          <w:p w14:paraId="6AFD4042" w14:textId="77777777" w:rsidR="0042639B" w:rsidRDefault="0042639B" w:rsidP="006B3960">
            <w:pPr>
              <w:pStyle w:val="Sansinterligne"/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</w:pPr>
          </w:p>
          <w:p w14:paraId="2BBA489A" w14:textId="77777777" w:rsidR="0042639B" w:rsidRPr="0042639B" w:rsidRDefault="0042639B" w:rsidP="0042639B">
            <w:pPr>
              <w:pStyle w:val="Sansinterligne"/>
              <w:jc w:val="both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42639B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William Grant &amp; Sons Ltd. est une société familiale indépendante écossaise qui distille et distribue du </w:t>
            </w:r>
            <w:hyperlink r:id="rId11" w:tooltip="Scotch whisky" w:history="1">
              <w:r w:rsidRPr="0042639B">
                <w:rPr>
                  <w:rFonts w:ascii="Gill Sans MT" w:hAnsi="Gill Sans MT" w:cs="Calibri"/>
                  <w:color w:val="000000"/>
                  <w:sz w:val="20"/>
                  <w:szCs w:val="20"/>
                  <w:lang w:val="fr-FR"/>
                </w:rPr>
                <w:t>scotch whisky</w:t>
              </w:r>
            </w:hyperlink>
            <w:r w:rsidRPr="0042639B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 et d’autres spiritueux. Des marques iconiques telles que Grant’s, Monkey Shoulder, Glenfiddich, The Balvenie, Tullamore Dew, Hendrick’s, Sailor Jerry,</w:t>
            </w:r>
            <w:bookmarkStart w:id="0" w:name="_Hlk1031696"/>
            <w:r w:rsidRPr="0042639B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Cointreau, Żubrówka, etc.</w:t>
            </w:r>
          </w:p>
          <w:bookmarkEnd w:id="0"/>
          <w:p w14:paraId="2480133D" w14:textId="77777777" w:rsidR="0042639B" w:rsidRPr="0042639B" w:rsidRDefault="0042639B" w:rsidP="0042639B">
            <w:pPr>
              <w:pStyle w:val="Sansinterligne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</w:p>
          <w:p w14:paraId="606ED616" w14:textId="77777777" w:rsidR="0042639B" w:rsidRPr="0042639B" w:rsidRDefault="0042639B" w:rsidP="0042639B">
            <w:pPr>
              <w:pStyle w:val="Sansinterligne"/>
              <w:jc w:val="both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42639B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Notre culture est axée sur 7 valeurs : être fiers, agir avec responsabilité, être professionnels, avoir l’esprit d’entreprenariat, faire les bons choix, penser long terme et accueillir les différences.</w:t>
            </w:r>
          </w:p>
          <w:p w14:paraId="0E45EDA3" w14:textId="77777777" w:rsidR="0042639B" w:rsidRPr="00F12F35" w:rsidRDefault="0042639B" w:rsidP="006B3960">
            <w:pPr>
              <w:pStyle w:val="Sansinterligne"/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</w:pPr>
          </w:p>
          <w:p w14:paraId="49B21800" w14:textId="677FEAC7" w:rsidR="009C1A99" w:rsidRPr="00F87123" w:rsidRDefault="009C1A99" w:rsidP="006B3960">
            <w:pPr>
              <w:pStyle w:val="Sansinterligne"/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</w:pP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L'</w:t>
            </w:r>
            <w:r w:rsidR="0004696F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A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ssistant</w:t>
            </w:r>
            <w:r w:rsidR="0004696F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.e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</w:t>
            </w:r>
            <w:r w:rsidR="0004696F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C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hef de </w:t>
            </w:r>
            <w:r w:rsidR="0004696F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M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arque contribue à la mise en place d’activations </w:t>
            </w:r>
            <w:r w:rsidR="00E06427"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et outils de visibilité 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dans les réseaux de distribution de</w:t>
            </w:r>
            <w:r w:rsidR="00D419D6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la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marque</w:t>
            </w:r>
            <w:r w:rsidR="00D419D6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(établissements</w:t>
            </w:r>
            <w:r w:rsidR="00221362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CHR et</w:t>
            </w:r>
            <w:r w:rsidR="00F04C46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Grande Distribution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). Il</w:t>
            </w:r>
            <w:r w:rsidR="0004696F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/elle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assure la gestion quotidienne de la marque : analyse le marché, les concurrents et la marque en ayant en tête le positionnement</w:t>
            </w:r>
            <w:r w:rsidR="00221362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de la marque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, propose des solutions afin d’ajuster le plan de marque si nécessaire, suit le budget marketing. Il</w:t>
            </w:r>
            <w:r w:rsidR="0004696F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/elle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aide également le </w:t>
            </w:r>
            <w:r w:rsidR="0004696F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C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hef de </w:t>
            </w:r>
            <w:r w:rsidR="0004696F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M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arqu</w:t>
            </w:r>
            <w:r w:rsidR="00221362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e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afin de mettre en place </w:t>
            </w:r>
            <w:r w:rsidR="00221362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l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>es campagnes publicitaires, événements</w:t>
            </w:r>
            <w:r w:rsidR="00221362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 et </w:t>
            </w:r>
            <w:r w:rsidRPr="00F87123">
              <w:rPr>
                <w:rFonts w:ascii="Gill Sans MT" w:hAnsi="Gill Sans MT" w:cs="Calibri"/>
                <w:i/>
                <w:sz w:val="20"/>
                <w:szCs w:val="20"/>
                <w:lang w:val="fr-FR"/>
              </w:rPr>
              <w:t xml:space="preserve">activations. </w:t>
            </w:r>
          </w:p>
          <w:p w14:paraId="504F8FE4" w14:textId="77777777" w:rsidR="009C1A99" w:rsidRPr="00F87123" w:rsidRDefault="009C1A99" w:rsidP="006B3960">
            <w:pPr>
              <w:pStyle w:val="Sansinterligne"/>
              <w:rPr>
                <w:rFonts w:ascii="Gill Sans MT" w:hAnsi="Gill Sans MT" w:cs="Calibri"/>
                <w:b/>
                <w:i/>
                <w:sz w:val="16"/>
                <w:szCs w:val="16"/>
                <w:lang w:val="fr-FR"/>
              </w:rPr>
            </w:pPr>
          </w:p>
        </w:tc>
      </w:tr>
      <w:tr w:rsidR="004A6180" w:rsidRPr="00F12F35" w14:paraId="6E903541" w14:textId="77777777" w:rsidTr="006B3960">
        <w:trPr>
          <w:trHeight w:val="8772"/>
        </w:trPr>
        <w:tc>
          <w:tcPr>
            <w:tcW w:w="9702" w:type="dxa"/>
            <w:gridSpan w:val="2"/>
            <w:shd w:val="clear" w:color="auto" w:fill="auto"/>
          </w:tcPr>
          <w:p w14:paraId="723C0886" w14:textId="77777777" w:rsidR="005A54B2" w:rsidRPr="00F12F35" w:rsidRDefault="004A6180" w:rsidP="006B3960">
            <w:pPr>
              <w:pStyle w:val="Sansinterligne"/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</w:pPr>
            <w:r w:rsidRPr="00F12F35"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  <w:t>Responsibilities</w:t>
            </w:r>
          </w:p>
          <w:p w14:paraId="041FE788" w14:textId="77777777" w:rsidR="00E27911" w:rsidRPr="00F12F35" w:rsidRDefault="00E27911" w:rsidP="006B3960">
            <w:pPr>
              <w:pStyle w:val="Sansinterligne"/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</w:pPr>
          </w:p>
          <w:p w14:paraId="570200C8" w14:textId="77777777" w:rsidR="00FC219E" w:rsidRPr="00FC219E" w:rsidRDefault="00FC219E" w:rsidP="00FC219E">
            <w:pPr>
              <w:shd w:val="clear" w:color="auto" w:fill="FFFFFF"/>
              <w:ind w:left="116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Analyser l'activité marché, marque</w:t>
            </w:r>
            <w:r w:rsidR="002D4185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s</w:t>
            </w: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 et concurrence</w:t>
            </w:r>
            <w:r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</w:p>
          <w:p w14:paraId="02E4D13A" w14:textId="77777777" w:rsidR="00FC219E" w:rsidRPr="00FC219E" w:rsidRDefault="00FC219E" w:rsidP="00FC219E">
            <w:pPr>
              <w:numPr>
                <w:ilvl w:val="0"/>
                <w:numId w:val="11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Analyser les données des panels distributeurs et consommateurs ainsi que les données de ventes internes</w:t>
            </w:r>
          </w:p>
          <w:p w14:paraId="1F3B4602" w14:textId="77777777" w:rsidR="00FC219E" w:rsidRPr="00FC219E" w:rsidRDefault="00FC219E" w:rsidP="00FC219E">
            <w:pPr>
              <w:numPr>
                <w:ilvl w:val="0"/>
                <w:numId w:val="11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Suivre et analyser l’activité concurrentielle</w:t>
            </w:r>
          </w:p>
          <w:p w14:paraId="3FF98D73" w14:textId="64A4AEC4" w:rsidR="00FC219E" w:rsidRDefault="00FC219E" w:rsidP="00FC219E">
            <w:pPr>
              <w:numPr>
                <w:ilvl w:val="0"/>
                <w:numId w:val="11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Recommander des plans d’action</w:t>
            </w:r>
            <w:r w:rsidR="00221362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correctifs</w:t>
            </w: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à la suite de ces analyses</w:t>
            </w:r>
          </w:p>
          <w:p w14:paraId="63B453A2" w14:textId="77777777" w:rsidR="002D4185" w:rsidRPr="002D4185" w:rsidRDefault="002D4185" w:rsidP="002D4185">
            <w:p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</w:p>
          <w:p w14:paraId="17F96C69" w14:textId="77777777" w:rsidR="00FC219E" w:rsidRPr="00FC219E" w:rsidRDefault="00FC219E" w:rsidP="00FC219E">
            <w:pPr>
              <w:shd w:val="clear" w:color="auto" w:fill="FFFFFF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Mettre en </w:t>
            </w:r>
            <w:r w:rsidR="0047018A"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œuvre</w:t>
            </w: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 les plans de marque</w:t>
            </w:r>
            <w:r w:rsidR="002D4185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s</w:t>
            </w:r>
            <w:r w:rsidR="00F04C4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</w:p>
          <w:p w14:paraId="56C0A39A" w14:textId="77777777" w:rsidR="00FC219E" w:rsidRDefault="00FC219E" w:rsidP="00FC219E">
            <w:p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Être le garant de la mise en place des plans dans les délais prévus ainsi que de la qualité d’exécution.</w:t>
            </w:r>
          </w:p>
          <w:p w14:paraId="07A833E9" w14:textId="49A06A9E" w:rsidR="00221362" w:rsidRPr="00221362" w:rsidRDefault="00221362" w:rsidP="00FC219E">
            <w:pPr>
              <w:numPr>
                <w:ilvl w:val="0"/>
                <w:numId w:val="13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221362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Plan média et digital :</w:t>
            </w:r>
            <w:r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Participer à </w:t>
            </w:r>
            <w:r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la mise en place du plan et gestion des créa avec l’agence de communication</w:t>
            </w:r>
          </w:p>
          <w:p w14:paraId="37513246" w14:textId="045906D8" w:rsidR="00FC219E" w:rsidRPr="00FC219E" w:rsidRDefault="00FC219E" w:rsidP="00FC219E">
            <w:pPr>
              <w:numPr>
                <w:ilvl w:val="0"/>
                <w:numId w:val="13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221362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Evénementiel</w:t>
            </w:r>
            <w:r w:rsidR="00221362" w:rsidRPr="00221362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221362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="00221362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Supporter l’</w:t>
            </w: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élabor</w:t>
            </w:r>
            <w:r w:rsidR="00221362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ation d</w:t>
            </w: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es briefs agences</w:t>
            </w:r>
            <w:r w:rsidR="00221362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, </w:t>
            </w: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assurer le suivi opérationnel </w:t>
            </w:r>
            <w:r w:rsidR="00221362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et l’excellence dans l’exécution</w:t>
            </w:r>
          </w:p>
          <w:p w14:paraId="483C893A" w14:textId="32BBBD85" w:rsidR="00404B88" w:rsidRPr="00FC219E" w:rsidRDefault="00404B88" w:rsidP="00FC219E">
            <w:pPr>
              <w:numPr>
                <w:ilvl w:val="0"/>
                <w:numId w:val="13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4D6A10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Activations </w:t>
            </w:r>
            <w:r w:rsidR="004D6A10" w:rsidRPr="004D6A10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CHR :</w:t>
            </w:r>
            <w:r w:rsidR="004D6A10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Supporter la gestion du projet de machines à pression</w:t>
            </w:r>
            <w:r w:rsidR="00153B17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, </w:t>
            </w:r>
            <w:r w:rsidR="004D6A10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les activations spécifiques dans les établissements CHR</w:t>
            </w:r>
            <w:r w:rsidR="00153B17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="00153B17" w:rsidRPr="00837219">
              <w:rPr>
                <w:rFonts w:ascii="Gill Sans MT" w:hAnsi="Gill Sans MT" w:cs="Calibri"/>
                <w:sz w:val="20"/>
                <w:szCs w:val="20"/>
                <w:lang w:val="fr-FR"/>
              </w:rPr>
              <w:t>et développer les goodies</w:t>
            </w:r>
            <w:r w:rsidR="00837219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 advocacy. </w:t>
            </w:r>
          </w:p>
          <w:p w14:paraId="6E17A436" w14:textId="77777777" w:rsidR="00FC219E" w:rsidRPr="00FC219E" w:rsidRDefault="00FC219E" w:rsidP="00FC219E">
            <w:p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</w:p>
          <w:p w14:paraId="1C03AA40" w14:textId="0832E8BA" w:rsidR="00FC219E" w:rsidRPr="00FC219E" w:rsidRDefault="00FC219E" w:rsidP="00FC219E">
            <w:pPr>
              <w:shd w:val="clear" w:color="auto" w:fill="FFFFFF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Assurer la gestion quotidienne </w:t>
            </w:r>
            <w:r w:rsidR="00221362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de la marque</w:t>
            </w:r>
            <w:r w:rsidR="00F04C46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</w:p>
          <w:p w14:paraId="53A70BD3" w14:textId="77777777" w:rsidR="002D4185" w:rsidRDefault="002D4185" w:rsidP="002D4185">
            <w:pPr>
              <w:numPr>
                <w:ilvl w:val="0"/>
                <w:numId w:val="14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2D4185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Suivi du budget marketing A&amp;P </w:t>
            </w:r>
          </w:p>
          <w:p w14:paraId="1AB05A9D" w14:textId="41D9A251" w:rsidR="00221362" w:rsidRPr="002D4185" w:rsidRDefault="00221362" w:rsidP="002D4185">
            <w:pPr>
              <w:numPr>
                <w:ilvl w:val="0"/>
                <w:numId w:val="14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Suivi et commande d’échantillons </w:t>
            </w:r>
          </w:p>
          <w:p w14:paraId="4DDBE639" w14:textId="77777777" w:rsidR="00FC219E" w:rsidRDefault="00FC219E" w:rsidP="00FC219E">
            <w:pPr>
              <w:numPr>
                <w:ilvl w:val="0"/>
                <w:numId w:val="14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Assurer l’interface à son niveau vis à vis de l’interne et de l’externe</w:t>
            </w:r>
          </w:p>
          <w:p w14:paraId="081C08CE" w14:textId="77777777" w:rsidR="002D4185" w:rsidRDefault="002D4185" w:rsidP="002D4185">
            <w:p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</w:p>
          <w:p w14:paraId="368A701F" w14:textId="77777777" w:rsidR="002D4185" w:rsidRPr="00FC219E" w:rsidRDefault="002D4185" w:rsidP="002D4185">
            <w:pPr>
              <w:shd w:val="clear" w:color="auto" w:fill="FFFFFF"/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Contribuer à l'élaboration des plans de marque</w:t>
            </w:r>
            <w:r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s </w:t>
            </w:r>
            <w:r w:rsidRPr="00FC219E">
              <w:rPr>
                <w:rFonts w:ascii="Gill Sans MT" w:hAnsi="Gill Sans MT" w:cs="Calibr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</w:p>
          <w:p w14:paraId="77FC3252" w14:textId="599ACACE" w:rsidR="002D4185" w:rsidRPr="00FC219E" w:rsidRDefault="002D4185" w:rsidP="002D4185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 xml:space="preserve">Contribuer au bilan de l’activité de l’année écoulée pour </w:t>
            </w:r>
            <w:r w:rsidR="00221362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la marque</w:t>
            </w:r>
          </w:p>
          <w:p w14:paraId="2123648F" w14:textId="22631B80" w:rsidR="002D4185" w:rsidRPr="002D4185" w:rsidRDefault="002D4185" w:rsidP="002D4185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Recommander des points d’améliorations des actions en cours et de nouvelles actions</w:t>
            </w:r>
          </w:p>
          <w:p w14:paraId="77B4CFAE" w14:textId="46461520" w:rsidR="001B684A" w:rsidRPr="00F87123" w:rsidRDefault="00FC219E" w:rsidP="0042639B">
            <w:pPr>
              <w:shd w:val="clear" w:color="auto" w:fill="FFFFFF"/>
              <w:spacing w:before="150" w:after="150"/>
              <w:ind w:left="116"/>
              <w:rPr>
                <w:rFonts w:ascii="Gill Sans MT" w:hAnsi="Gill Sans MT"/>
                <w:b/>
                <w:i/>
                <w:iCs/>
                <w:sz w:val="22"/>
                <w:szCs w:val="22"/>
                <w:lang w:val="fr-FR"/>
              </w:rPr>
            </w:pPr>
            <w:r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 </w:t>
            </w:r>
            <w:r w:rsidR="00F87123" w:rsidRPr="00FC219E"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  <w:t>Cette liste de mission est non exhaustive, et peut évoluer en fonction de l’actualité et des projets en cours</w:t>
            </w:r>
          </w:p>
        </w:tc>
      </w:tr>
    </w:tbl>
    <w:p w14:paraId="2D57DFF2" w14:textId="77777777" w:rsidR="004A6180" w:rsidRPr="00F87123" w:rsidRDefault="004A6180">
      <w:pPr>
        <w:rPr>
          <w:rFonts w:ascii="Gill Sans MT" w:hAnsi="Gill Sans MT"/>
          <w:lang w:val="fr-FR"/>
        </w:rPr>
      </w:pPr>
    </w:p>
    <w:p w14:paraId="1F371EF5" w14:textId="77777777" w:rsidR="00A04E53" w:rsidRPr="00F87123" w:rsidRDefault="00A04E53">
      <w:pPr>
        <w:rPr>
          <w:rFonts w:ascii="Gill Sans MT" w:hAnsi="Gill Sans MT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939"/>
      </w:tblGrid>
      <w:tr w:rsidR="004A6180" w:rsidRPr="00F87123" w14:paraId="3FC32281" w14:textId="77777777" w:rsidTr="006B3960">
        <w:trPr>
          <w:trHeight w:val="36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AB60E4" w14:textId="77777777" w:rsidR="004A6180" w:rsidRPr="00F87123" w:rsidRDefault="004A6180" w:rsidP="006B3960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b/>
                <w:sz w:val="20"/>
                <w:szCs w:val="20"/>
              </w:rPr>
              <w:t>Values</w:t>
            </w:r>
          </w:p>
          <w:p w14:paraId="69B0D408" w14:textId="00D521D4" w:rsidR="004A6180" w:rsidRPr="00F87123" w:rsidRDefault="00203534" w:rsidP="006B3960">
            <w:pPr>
              <w:rPr>
                <w:rFonts w:ascii="Gill Sans MT" w:hAnsi="Gill Sans MT" w:cs="Calibri"/>
                <w:b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4744D83" wp14:editId="55D9830A">
                  <wp:extent cx="5429250" cy="2057400"/>
                  <wp:effectExtent l="0" t="0" r="0" b="0"/>
                  <wp:docPr id="207291186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180" w:rsidRPr="00F87123" w14:paraId="1A45D42F" w14:textId="77777777" w:rsidTr="00BA7B5B">
        <w:trPr>
          <w:trHeight w:val="726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0F8269" w14:textId="77777777" w:rsidR="004A6180" w:rsidRPr="00F87123" w:rsidRDefault="004A6180" w:rsidP="006B3960">
            <w:pPr>
              <w:rPr>
                <w:rFonts w:ascii="Gill Sans MT" w:hAnsi="Gill Sans MT" w:cs="Calibri"/>
                <w:i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b/>
                <w:sz w:val="20"/>
                <w:szCs w:val="20"/>
              </w:rPr>
              <w:t>Core Competencies:</w:t>
            </w:r>
            <w:r w:rsidR="005A54B2" w:rsidRPr="00F87123">
              <w:rPr>
                <w:rFonts w:ascii="Gill Sans MT" w:hAnsi="Gill Sans MT" w:cs="Calibri"/>
                <w:i/>
                <w:sz w:val="20"/>
                <w:szCs w:val="20"/>
              </w:rPr>
              <w:t xml:space="preserve"> </w:t>
            </w:r>
          </w:p>
          <w:p w14:paraId="3A0ABDED" w14:textId="77777777" w:rsidR="004A6180" w:rsidRPr="00F87123" w:rsidRDefault="004A6180" w:rsidP="006B3960">
            <w:pPr>
              <w:rPr>
                <w:rFonts w:ascii="Gill Sans MT" w:hAnsi="Gill Sans MT" w:cs="Calibri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C5118A" w:rsidRPr="00F87123" w14:paraId="0F4175D6" w14:textId="77777777" w:rsidTr="00BA7B5B">
              <w:tc>
                <w:tcPr>
                  <w:tcW w:w="4652" w:type="dxa"/>
                  <w:shd w:val="clear" w:color="auto" w:fill="auto"/>
                </w:tcPr>
                <w:p w14:paraId="49250763" w14:textId="77777777" w:rsidR="00C5118A" w:rsidRPr="00C5118A" w:rsidRDefault="00C5118A" w:rsidP="00C5118A">
                  <w:pPr>
                    <w:rPr>
                      <w:rFonts w:ascii="Gill Sans MT" w:hAnsi="Gill Sans MT" w:cs="Calibri"/>
                      <w:b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 w:cs="Calibri"/>
                      <w:b/>
                      <w:sz w:val="20"/>
                      <w:szCs w:val="20"/>
                    </w:rPr>
                    <w:t>Deciding &amp; Initiating Action</w:t>
                  </w:r>
                </w:p>
                <w:p w14:paraId="2C993616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0CBCAAA9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Takes responsibility for actions, projects and people</w:t>
                  </w:r>
                </w:p>
                <w:p w14:paraId="3CEBBF81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 xml:space="preserve">Takes initiative and acts with confidence </w:t>
                  </w:r>
                </w:p>
                <w:p w14:paraId="3B1E94DA" w14:textId="77777777" w:rsidR="00C5118A" w:rsidRDefault="00C5118A" w:rsidP="00C5118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Initiates and generates activity</w:t>
                  </w:r>
                </w:p>
                <w:p w14:paraId="1F4132A2" w14:textId="77777777" w:rsidR="00C5118A" w:rsidRPr="00C5118A" w:rsidRDefault="00C5118A" w:rsidP="00C5118A">
                  <w:pPr>
                    <w:pStyle w:val="Default"/>
                    <w:ind w:left="360"/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</w:tcPr>
                <w:p w14:paraId="2340369D" w14:textId="77777777" w:rsidR="00C5118A" w:rsidRPr="00C5118A" w:rsidRDefault="00C5118A" w:rsidP="00C5118A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/>
                      <w:b/>
                      <w:sz w:val="20"/>
                      <w:szCs w:val="20"/>
                    </w:rPr>
                    <w:t>Creating and Innovating</w:t>
                  </w:r>
                </w:p>
                <w:p w14:paraId="717BDCA1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Produces new ideas, approaches, or insights</w:t>
                  </w:r>
                </w:p>
                <w:p w14:paraId="37CC0426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Creates innovative products or designs</w:t>
                  </w:r>
                </w:p>
                <w:p w14:paraId="28C802CB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 xml:space="preserve">Produces a range of solutions to problems. </w:t>
                  </w:r>
                </w:p>
                <w:p w14:paraId="1C1FE92F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Seeks opportunities for organisational improvement. Devises effective change initiatives.</w:t>
                  </w:r>
                </w:p>
              </w:tc>
            </w:tr>
            <w:tr w:rsidR="00C5118A" w:rsidRPr="00F87123" w14:paraId="52221CE0" w14:textId="77777777" w:rsidTr="00BA7B5B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5D524A56" w14:textId="77777777" w:rsidR="00C5118A" w:rsidRPr="00C5118A" w:rsidRDefault="00C5118A" w:rsidP="00C5118A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/>
                      <w:b/>
                      <w:sz w:val="20"/>
                      <w:szCs w:val="20"/>
                    </w:rPr>
                    <w:t>Persuading &amp; Influencing</w:t>
                  </w:r>
                </w:p>
                <w:p w14:paraId="38FABCE7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Makes a strong personal impression on others</w:t>
                  </w:r>
                </w:p>
                <w:p w14:paraId="062DC6D5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253195D9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Promotes ideas on behalf of self or others</w:t>
                  </w:r>
                </w:p>
                <w:p w14:paraId="7A4E6FB5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Gill Sans MT" w:hAnsi="Gill Sans MT" w:cs="Calibri"/>
                      <w:b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2E2076B4" w14:textId="77777777" w:rsidR="00C5118A" w:rsidRPr="00C5118A" w:rsidRDefault="00C5118A" w:rsidP="00C5118A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/>
                      <w:b/>
                      <w:sz w:val="20"/>
                      <w:szCs w:val="20"/>
                    </w:rPr>
                    <w:t>Delivering Results &amp; Meeting Customer Expectations</w:t>
                  </w:r>
                </w:p>
                <w:p w14:paraId="2E76AC49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Focuses on customer needs and satisfaction</w:t>
                  </w:r>
                </w:p>
                <w:p w14:paraId="19BC3EA5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Sets high standards for quality and quantity</w:t>
                  </w:r>
                </w:p>
                <w:p w14:paraId="65BBF66A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Monitors and maintains quality and productivity</w:t>
                  </w:r>
                </w:p>
                <w:p w14:paraId="76E91C5E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 xml:space="preserve">Works in a systematic, methodical and orderly way </w:t>
                  </w:r>
                </w:p>
                <w:p w14:paraId="67F23683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Gill Sans MT" w:hAnsi="Gill Sans MT" w:cs="Calibri"/>
                      <w:b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C5118A" w:rsidRPr="00F87123" w14:paraId="50AEC128" w14:textId="77777777" w:rsidTr="00BA7B5B">
              <w:tc>
                <w:tcPr>
                  <w:tcW w:w="4652" w:type="dxa"/>
                  <w:shd w:val="clear" w:color="auto" w:fill="auto"/>
                </w:tcPr>
                <w:p w14:paraId="01BA9CB0" w14:textId="77777777" w:rsidR="00C5118A" w:rsidRPr="00C5118A" w:rsidRDefault="00C5118A" w:rsidP="00C5118A">
                  <w:pPr>
                    <w:pStyle w:val="Default"/>
                    <w:rPr>
                      <w:rFonts w:ascii="Gill Sans MT" w:hAnsi="Gill Sans MT"/>
                      <w:b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b/>
                      <w:sz w:val="20"/>
                      <w:szCs w:val="20"/>
                      <w:lang w:eastAsia="en-US"/>
                    </w:rPr>
                    <w:t>Adapting and Responding to Change</w:t>
                  </w:r>
                </w:p>
                <w:p w14:paraId="6F19C135" w14:textId="77777777" w:rsidR="00C5118A" w:rsidRPr="00C5118A" w:rsidRDefault="00C5118A" w:rsidP="00C5118A">
                  <w:pPr>
                    <w:pStyle w:val="Default"/>
                    <w:rPr>
                      <w:rFonts w:ascii="Gill Sans MT" w:hAnsi="Gill Sans MT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4A161414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Adapts to changing circumstances</w:t>
                  </w:r>
                </w:p>
                <w:p w14:paraId="4C0D1D8E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Accepts new ideas and change initiatives</w:t>
                  </w:r>
                </w:p>
                <w:p w14:paraId="2E33A5B5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Adapts interpersonal style to suit different people or situations</w:t>
                  </w:r>
                </w:p>
                <w:p w14:paraId="0E68D16C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Shows respect and sensitivity towards cultural and religious differences</w:t>
                  </w:r>
                </w:p>
                <w:p w14:paraId="6636C658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  <w:r w:rsidRPr="00C5118A"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  <w:t>Deals with ambiguity, making positive use of the opportunities it presents</w:t>
                  </w:r>
                </w:p>
                <w:p w14:paraId="5E63FAF4" w14:textId="77777777" w:rsidR="00C5118A" w:rsidRPr="00C5118A" w:rsidRDefault="00C5118A" w:rsidP="00C5118A">
                  <w:pPr>
                    <w:pStyle w:val="Default"/>
                    <w:ind w:left="360"/>
                    <w:rPr>
                      <w:rFonts w:ascii="Gill Sans MT" w:hAnsi="Gill Sans MT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</w:tcPr>
                <w:p w14:paraId="3C9F4C71" w14:textId="77777777" w:rsidR="00C5118A" w:rsidRPr="00C5118A" w:rsidRDefault="00C5118A" w:rsidP="00C5118A">
                  <w:pPr>
                    <w:pStyle w:val="Default"/>
                    <w:rPr>
                      <w:rFonts w:ascii="Gill Sans MT" w:hAnsi="Gill Sans MT" w:cs="Calibri"/>
                      <w:b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 w:cs="Calibri"/>
                      <w:b/>
                      <w:sz w:val="20"/>
                      <w:szCs w:val="20"/>
                    </w:rPr>
                    <w:t>Entrepreneurial and Commercial Thinking</w:t>
                  </w:r>
                </w:p>
                <w:p w14:paraId="464450CF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Gill Sans MT" w:hAnsi="Gill Sans MT" w:cs="Calibri"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 w:cs="Calibri"/>
                      <w:sz w:val="20"/>
                      <w:szCs w:val="20"/>
                    </w:rPr>
                    <w:t>Keeps up to date with competitor information and market trends</w:t>
                  </w:r>
                </w:p>
                <w:p w14:paraId="45DCF329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Gill Sans MT" w:hAnsi="Gill Sans MT" w:cs="Calibri"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 w:cs="Calibri"/>
                      <w:sz w:val="20"/>
                      <w:szCs w:val="20"/>
                    </w:rPr>
                    <w:t>Identifies business opportunities for the organisation</w:t>
                  </w:r>
                </w:p>
                <w:p w14:paraId="48693D31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Gill Sans MT" w:hAnsi="Gill Sans MT" w:cs="Calibri"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 w:cs="Calibri"/>
                      <w:sz w:val="20"/>
                      <w:szCs w:val="20"/>
                    </w:rPr>
                    <w:t>Demonstrates financial awareness</w:t>
                  </w:r>
                </w:p>
                <w:p w14:paraId="085D5DB7" w14:textId="77777777" w:rsidR="00C5118A" w:rsidRPr="00C5118A" w:rsidRDefault="00C5118A" w:rsidP="00C5118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Gill Sans MT" w:hAnsi="Gill Sans MT" w:cs="Calibri"/>
                      <w:sz w:val="20"/>
                      <w:szCs w:val="20"/>
                    </w:rPr>
                  </w:pPr>
                  <w:r w:rsidRPr="00C5118A">
                    <w:rPr>
                      <w:rFonts w:ascii="Gill Sans MT" w:hAnsi="Gill Sans MT" w:cs="Calibri"/>
                      <w:sz w:val="20"/>
                      <w:szCs w:val="20"/>
                    </w:rPr>
                    <w:t>Controls costs and thinks in terms of profit, loss and added value</w:t>
                  </w:r>
                </w:p>
                <w:p w14:paraId="00E0F1F4" w14:textId="77777777" w:rsidR="00C5118A" w:rsidRPr="00C5118A" w:rsidRDefault="00C5118A" w:rsidP="00C5118A">
                  <w:pPr>
                    <w:rPr>
                      <w:rFonts w:ascii="Gill Sans MT" w:hAnsi="Gill Sans M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B34F91E" w14:textId="77777777" w:rsidR="004A6180" w:rsidRPr="00F87123" w:rsidRDefault="004A6180" w:rsidP="006B3960">
            <w:pPr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</w:p>
        </w:tc>
      </w:tr>
      <w:tr w:rsidR="004A6180" w:rsidRPr="00F12F35" w14:paraId="09F5B5F8" w14:textId="77777777" w:rsidTr="006B396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D237" w14:textId="77777777" w:rsidR="004A6180" w:rsidRPr="00F12F35" w:rsidRDefault="004A6180" w:rsidP="006B3960">
            <w:pPr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</w:pPr>
            <w:r w:rsidRPr="00F12F35">
              <w:rPr>
                <w:rFonts w:ascii="Gill Sans MT" w:hAnsi="Gill Sans MT" w:cs="Calibri"/>
                <w:b/>
                <w:sz w:val="20"/>
                <w:szCs w:val="20"/>
                <w:lang w:val="fr-FR"/>
              </w:rPr>
              <w:t>Skills and Qualifications:</w:t>
            </w:r>
          </w:p>
          <w:p w14:paraId="6CAFD9BA" w14:textId="3F0A1C57" w:rsidR="0004696F" w:rsidRDefault="00A31D9E" w:rsidP="0004696F">
            <w:pPr>
              <w:pStyle w:val="Sansinterligne"/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En </w:t>
            </w:r>
            <w:r w:rsidR="00F32617">
              <w:rPr>
                <w:rFonts w:ascii="Gill Sans MT" w:hAnsi="Gill Sans MT" w:cs="Calibri"/>
                <w:sz w:val="20"/>
                <w:szCs w:val="20"/>
                <w:lang w:val="fr-FR"/>
              </w:rPr>
              <w:t>E</w:t>
            </w:r>
            <w:r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cole </w:t>
            </w:r>
            <w:r w:rsidRPr="00A31D9E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Supérieure de Commerce ou équivalent </w:t>
            </w:r>
            <w:r>
              <w:rPr>
                <w:rFonts w:ascii="Gill Sans MT" w:hAnsi="Gill Sans MT" w:cs="Calibri"/>
                <w:sz w:val="20"/>
                <w:szCs w:val="20"/>
                <w:lang w:val="fr-FR"/>
              </w:rPr>
              <w:t>–</w:t>
            </w:r>
            <w:r w:rsidRPr="00A31D9E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 spécialisé</w:t>
            </w:r>
            <w:r>
              <w:rPr>
                <w:rFonts w:ascii="Gill Sans MT" w:hAnsi="Gill Sans MT" w:cs="Calibri"/>
                <w:sz w:val="20"/>
                <w:szCs w:val="20"/>
                <w:lang w:val="fr-FR"/>
              </w:rPr>
              <w:t>.e</w:t>
            </w:r>
            <w:r w:rsidRPr="00A31D9E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 en marketing, vous terminez votre formation Bac +4/5.</w:t>
            </w:r>
            <w:r w:rsidR="00F32617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 </w:t>
            </w:r>
            <w:r w:rsidR="0004696F"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Votre autonomie, votre rigueur, votre sens du relationnel sont des atouts indispensables pour mener à bien cette mission. Une première expérience comme </w:t>
            </w:r>
            <w:r w:rsidR="0004696F">
              <w:rPr>
                <w:rFonts w:ascii="Gill Sans MT" w:hAnsi="Gill Sans MT" w:cs="Calibri"/>
                <w:sz w:val="20"/>
                <w:szCs w:val="20"/>
                <w:lang w:val="fr-FR"/>
              </w:rPr>
              <w:t>A</w:t>
            </w:r>
            <w:r w:rsidR="0004696F"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ssistant.e Chef de Marque </w:t>
            </w:r>
            <w:r w:rsidR="00F04C46">
              <w:rPr>
                <w:rFonts w:ascii="Gill Sans MT" w:hAnsi="Gill Sans MT" w:cs="Calibri"/>
                <w:sz w:val="20"/>
                <w:szCs w:val="20"/>
                <w:lang w:val="fr-FR"/>
              </w:rPr>
              <w:t>ainsi qu’u</w:t>
            </w:r>
            <w:r w:rsidR="0004696F"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>ne connaissance de la grande distribution et</w:t>
            </w:r>
            <w:r w:rsidR="0004696F">
              <w:rPr>
                <w:rFonts w:ascii="Gill Sans MT" w:hAnsi="Gill Sans MT" w:cs="Calibri"/>
                <w:sz w:val="20"/>
                <w:szCs w:val="20"/>
                <w:lang w:val="fr-FR"/>
              </w:rPr>
              <w:t>/ou</w:t>
            </w:r>
            <w:r w:rsidR="0004696F"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 des spiritueux serai</w:t>
            </w:r>
            <w:r w:rsidR="002D4185">
              <w:rPr>
                <w:rFonts w:ascii="Gill Sans MT" w:hAnsi="Gill Sans MT" w:cs="Calibri"/>
                <w:sz w:val="20"/>
                <w:szCs w:val="20"/>
                <w:lang w:val="fr-FR"/>
              </w:rPr>
              <w:t>en</w:t>
            </w:r>
            <w:r w:rsidR="0004696F"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t </w:t>
            </w:r>
            <w:r w:rsidR="00AA514B"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>apprécié</w:t>
            </w:r>
            <w:r w:rsidR="00AA514B">
              <w:rPr>
                <w:rFonts w:ascii="Gill Sans MT" w:hAnsi="Gill Sans MT" w:cs="Calibri"/>
                <w:sz w:val="20"/>
                <w:szCs w:val="20"/>
                <w:lang w:val="fr-FR"/>
              </w:rPr>
              <w:t>s</w:t>
            </w:r>
            <w:r w:rsidR="0004696F"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>.</w:t>
            </w:r>
          </w:p>
          <w:p w14:paraId="3140AABC" w14:textId="77777777" w:rsidR="00F04C46" w:rsidRDefault="00F04C46" w:rsidP="0004696F">
            <w:pPr>
              <w:pStyle w:val="Sansinterligne"/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</w:p>
          <w:p w14:paraId="18E2B302" w14:textId="77777777" w:rsidR="00F04C46" w:rsidRDefault="00F04C46" w:rsidP="00F04C46">
            <w:pPr>
              <w:pStyle w:val="Sansinterligne"/>
              <w:jc w:val="both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  <w:u w:val="single"/>
              </w:rPr>
              <w:t>Essential</w:t>
            </w:r>
            <w:r w:rsidRPr="00F87123">
              <w:rPr>
                <w:rFonts w:ascii="Gill Sans MT" w:hAnsi="Gill Sans MT" w:cs="Calibri"/>
                <w:color w:val="000000"/>
                <w:sz w:val="20"/>
                <w:szCs w:val="20"/>
              </w:rPr>
              <w:t xml:space="preserve">: </w:t>
            </w:r>
          </w:p>
          <w:p w14:paraId="4BFA1CDB" w14:textId="77777777" w:rsidR="00F04C46" w:rsidRPr="0004696F" w:rsidRDefault="00F04C46" w:rsidP="00F04C46">
            <w:pPr>
              <w:pStyle w:val="Sansinterligne"/>
              <w:numPr>
                <w:ilvl w:val="0"/>
                <w:numId w:val="16"/>
              </w:numPr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  <w:r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>Analyse et synthèse</w:t>
            </w:r>
          </w:p>
          <w:p w14:paraId="5531E230" w14:textId="77777777" w:rsidR="00F04C46" w:rsidRDefault="00F04C46" w:rsidP="00F04C46">
            <w:pPr>
              <w:pStyle w:val="Sansinterligne"/>
              <w:numPr>
                <w:ilvl w:val="0"/>
                <w:numId w:val="16"/>
              </w:numPr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  <w:r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>Créativité</w:t>
            </w:r>
          </w:p>
          <w:p w14:paraId="75BF231A" w14:textId="77777777" w:rsidR="00F04C46" w:rsidRPr="00F04C46" w:rsidRDefault="00F04C46" w:rsidP="00F04C46">
            <w:pPr>
              <w:pStyle w:val="Sansinterligne"/>
              <w:numPr>
                <w:ilvl w:val="0"/>
                <w:numId w:val="16"/>
              </w:numPr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fr-FR"/>
              </w:rPr>
              <w:t>Rigueur et standards d’exécution élevés</w:t>
            </w:r>
          </w:p>
          <w:p w14:paraId="40B28A37" w14:textId="77777777" w:rsidR="00F04C46" w:rsidRDefault="00F04C46" w:rsidP="00F04C46">
            <w:pPr>
              <w:pStyle w:val="Sansinterligne"/>
              <w:jc w:val="both"/>
              <w:rPr>
                <w:rFonts w:ascii="Gill Sans MT" w:hAnsi="Gill Sans MT" w:cs="Calibri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sz w:val="20"/>
                <w:szCs w:val="20"/>
                <w:u w:val="single"/>
              </w:rPr>
              <w:t xml:space="preserve">Desirable: </w:t>
            </w:r>
          </w:p>
          <w:p w14:paraId="1C6D3DDE" w14:textId="77777777" w:rsidR="00F04C46" w:rsidRPr="0004696F" w:rsidRDefault="00F04C46" w:rsidP="00F04C46">
            <w:pPr>
              <w:pStyle w:val="Sansinterligne"/>
              <w:numPr>
                <w:ilvl w:val="0"/>
                <w:numId w:val="16"/>
              </w:numPr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  <w:r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>Travail en équipe</w:t>
            </w:r>
          </w:p>
          <w:p w14:paraId="25EB37FB" w14:textId="77777777" w:rsidR="00F04C46" w:rsidRPr="0004696F" w:rsidRDefault="00F04C46" w:rsidP="00F04C46">
            <w:pPr>
              <w:pStyle w:val="Sansinterligne"/>
              <w:numPr>
                <w:ilvl w:val="0"/>
                <w:numId w:val="16"/>
              </w:numPr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  <w:r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>Gestion des priorités</w:t>
            </w:r>
          </w:p>
          <w:p w14:paraId="4BCF52DA" w14:textId="77777777" w:rsidR="00F04C46" w:rsidRPr="0004696F" w:rsidRDefault="00F04C46" w:rsidP="00F04C46">
            <w:pPr>
              <w:pStyle w:val="Sansinterligne"/>
              <w:numPr>
                <w:ilvl w:val="0"/>
                <w:numId w:val="16"/>
              </w:numPr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  <w:r w:rsidRPr="0004696F">
              <w:rPr>
                <w:rFonts w:ascii="Gill Sans MT" w:hAnsi="Gill Sans MT" w:cs="Calibri"/>
                <w:sz w:val="20"/>
                <w:szCs w:val="20"/>
                <w:lang w:val="fr-FR"/>
              </w:rPr>
              <w:t>Communication écrite et orale</w:t>
            </w:r>
          </w:p>
          <w:p w14:paraId="6BAA57A6" w14:textId="77777777" w:rsidR="00F87123" w:rsidRDefault="00F87123" w:rsidP="006B3960">
            <w:pPr>
              <w:pStyle w:val="Sansinterligne"/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</w:p>
          <w:p w14:paraId="00F16F13" w14:textId="0285D92E" w:rsidR="00E731E3" w:rsidRPr="00631360" w:rsidRDefault="00E731E3" w:rsidP="006B3960">
            <w:pPr>
              <w:pStyle w:val="Sansinterligne"/>
              <w:jc w:val="both"/>
              <w:rPr>
                <w:rFonts w:ascii="Gill Sans MT" w:hAnsi="Gill Sans MT" w:cs="Calibri"/>
                <w:sz w:val="20"/>
                <w:szCs w:val="20"/>
                <w:lang w:val="fr-FR"/>
              </w:rPr>
            </w:pPr>
            <w:r>
              <w:rPr>
                <w:rFonts w:ascii="Gill Sans MT" w:hAnsi="Gill Sans MT" w:cs="Calibri"/>
                <w:sz w:val="20"/>
                <w:szCs w:val="20"/>
                <w:lang w:val="fr-FR"/>
              </w:rPr>
              <w:t>Début</w:t>
            </w:r>
            <w:r w:rsidR="00837219">
              <w:rPr>
                <w:rFonts w:ascii="Gill Sans MT" w:hAnsi="Gill Sans MT" w:cs="Calibri"/>
                <w:color w:val="FF0000"/>
                <w:sz w:val="20"/>
                <w:szCs w:val="20"/>
                <w:lang w:val="fr-FR"/>
              </w:rPr>
              <w:t xml:space="preserve"> </w:t>
            </w:r>
            <w:r w:rsidR="00F04C46">
              <w:rPr>
                <w:rFonts w:ascii="Gill Sans MT" w:hAnsi="Gill Sans MT" w:cs="Calibri"/>
                <w:sz w:val="20"/>
                <w:szCs w:val="20"/>
                <w:lang w:val="fr-FR"/>
              </w:rPr>
              <w:t>:</w:t>
            </w:r>
            <w:r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 </w:t>
            </w:r>
            <w:r w:rsidR="00837219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Juillet </w:t>
            </w:r>
            <w:r w:rsidR="00382055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2025 </w:t>
            </w:r>
            <w:r w:rsidR="00837219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mais possibilité de commencer début </w:t>
            </w:r>
            <w:r w:rsidR="00D51BE1">
              <w:rPr>
                <w:rFonts w:ascii="Gill Sans MT" w:hAnsi="Gill Sans MT" w:cs="Calibri"/>
                <w:sz w:val="20"/>
                <w:szCs w:val="20"/>
                <w:lang w:val="fr-FR"/>
              </w:rPr>
              <w:t>Mai</w:t>
            </w:r>
            <w:r w:rsidR="00221362">
              <w:rPr>
                <w:rFonts w:ascii="Gill Sans MT" w:hAnsi="Gill Sans MT" w:cs="Calibri"/>
                <w:sz w:val="20"/>
                <w:szCs w:val="20"/>
                <w:lang w:val="fr-FR"/>
              </w:rPr>
              <w:t xml:space="preserve"> 2025 </w:t>
            </w:r>
          </w:p>
          <w:p w14:paraId="493ED171" w14:textId="77777777" w:rsidR="004A6180" w:rsidRPr="00631360" w:rsidRDefault="004A6180" w:rsidP="00E06427">
            <w:pPr>
              <w:pStyle w:val="Sansinterligne"/>
              <w:ind w:left="360"/>
              <w:jc w:val="both"/>
              <w:rPr>
                <w:rFonts w:ascii="Gill Sans MT" w:hAnsi="Gill Sans MT" w:cs="Calibri"/>
                <w:color w:val="000000"/>
                <w:sz w:val="20"/>
                <w:szCs w:val="20"/>
                <w:lang w:val="fr-FR"/>
              </w:rPr>
            </w:pPr>
          </w:p>
        </w:tc>
      </w:tr>
      <w:tr w:rsidR="004A6180" w:rsidRPr="00F87123" w14:paraId="04618288" w14:textId="77777777" w:rsidTr="006B396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A8D6" w14:textId="77777777" w:rsidR="004A6180" w:rsidRPr="00F87123" w:rsidRDefault="004A6180" w:rsidP="006B3960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sz w:val="20"/>
                <w:szCs w:val="20"/>
              </w:rPr>
              <w:lastRenderedPageBreak/>
              <w:t>Created by: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E6FF" w14:textId="7D099A2F" w:rsidR="004A6180" w:rsidRPr="00F87123" w:rsidRDefault="00221362" w:rsidP="006B3960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Quitterie LETE</w:t>
            </w:r>
          </w:p>
        </w:tc>
      </w:tr>
      <w:tr w:rsidR="004A6180" w:rsidRPr="00F87123" w14:paraId="3841C85A" w14:textId="77777777" w:rsidTr="006B396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503B" w14:textId="77777777" w:rsidR="004A6180" w:rsidRPr="00F87123" w:rsidRDefault="004A6180" w:rsidP="006B3960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sz w:val="20"/>
                <w:szCs w:val="20"/>
              </w:rPr>
              <w:t>Date: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C372" w14:textId="38D79805" w:rsidR="004A6180" w:rsidRPr="00F87123" w:rsidRDefault="00221362" w:rsidP="006B3960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April</w:t>
            </w:r>
            <w:r w:rsidR="00E06427" w:rsidRPr="00F87123">
              <w:rPr>
                <w:rFonts w:ascii="Gill Sans MT" w:hAnsi="Gill Sans MT" w:cs="Calibri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Calibri"/>
                <w:sz w:val="20"/>
                <w:szCs w:val="20"/>
              </w:rPr>
              <w:t>16</w:t>
            </w:r>
            <w:r w:rsidR="00E06427" w:rsidRPr="00F87123">
              <w:rPr>
                <w:rFonts w:ascii="Gill Sans MT" w:hAnsi="Gill Sans MT" w:cs="Calibri"/>
                <w:sz w:val="20"/>
                <w:szCs w:val="20"/>
              </w:rPr>
              <w:t xml:space="preserve"> 202</w:t>
            </w:r>
            <w:r>
              <w:rPr>
                <w:rFonts w:ascii="Gill Sans MT" w:hAnsi="Gill Sans MT" w:cs="Calibri"/>
                <w:sz w:val="20"/>
                <w:szCs w:val="20"/>
              </w:rPr>
              <w:t>5</w:t>
            </w:r>
          </w:p>
        </w:tc>
      </w:tr>
      <w:tr w:rsidR="004A6180" w:rsidRPr="00F87123" w14:paraId="2244A88D" w14:textId="77777777" w:rsidTr="006B396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F9AA" w14:textId="77777777" w:rsidR="004A6180" w:rsidRPr="00F87123" w:rsidRDefault="004A6180" w:rsidP="006B3960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sz w:val="20"/>
                <w:szCs w:val="20"/>
              </w:rPr>
              <w:t>HRBP: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C7D9" w14:textId="77777777" w:rsidR="004A6180" w:rsidRPr="00F87123" w:rsidRDefault="00F87123" w:rsidP="006B3960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sz w:val="20"/>
                <w:szCs w:val="20"/>
              </w:rPr>
              <w:t>Melie Le Gloahec</w:t>
            </w:r>
          </w:p>
        </w:tc>
      </w:tr>
      <w:tr w:rsidR="00221362" w:rsidRPr="00F87123" w14:paraId="5D5E38EB" w14:textId="77777777" w:rsidTr="00AC6E16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DF19" w14:textId="77777777" w:rsidR="00221362" w:rsidRPr="00F87123" w:rsidRDefault="00221362" w:rsidP="00221362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F87123">
              <w:rPr>
                <w:rFonts w:ascii="Gill Sans MT" w:hAnsi="Gill Sans MT" w:cs="Calibri"/>
                <w:sz w:val="20"/>
                <w:szCs w:val="20"/>
              </w:rPr>
              <w:t>Date of last revision: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8C8F" w14:textId="3BD40EB1" w:rsidR="00221362" w:rsidRPr="00F87123" w:rsidRDefault="00221362" w:rsidP="00221362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April</w:t>
            </w:r>
            <w:r w:rsidRPr="00F87123">
              <w:rPr>
                <w:rFonts w:ascii="Gill Sans MT" w:hAnsi="Gill Sans MT" w:cs="Calibri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Calibri"/>
                <w:sz w:val="20"/>
                <w:szCs w:val="20"/>
              </w:rPr>
              <w:t>16</w:t>
            </w:r>
            <w:r w:rsidRPr="00F87123">
              <w:rPr>
                <w:rFonts w:ascii="Gill Sans MT" w:hAnsi="Gill Sans MT" w:cs="Calibri"/>
                <w:sz w:val="20"/>
                <w:szCs w:val="20"/>
              </w:rPr>
              <w:t xml:space="preserve"> 202</w:t>
            </w:r>
            <w:r>
              <w:rPr>
                <w:rFonts w:ascii="Gill Sans MT" w:hAnsi="Gill Sans MT" w:cs="Calibri"/>
                <w:sz w:val="20"/>
                <w:szCs w:val="20"/>
              </w:rPr>
              <w:t>5</w:t>
            </w:r>
          </w:p>
        </w:tc>
      </w:tr>
    </w:tbl>
    <w:p w14:paraId="02BA69AA" w14:textId="77777777" w:rsidR="004A6180" w:rsidRPr="00F87123" w:rsidRDefault="004A6180" w:rsidP="00BA7B5B">
      <w:pPr>
        <w:rPr>
          <w:rFonts w:ascii="Gill Sans MT" w:hAnsi="Gill Sans MT"/>
        </w:rPr>
      </w:pPr>
    </w:p>
    <w:sectPr w:rsidR="004A6180" w:rsidRPr="00F87123" w:rsidSect="00A04E53">
      <w:headerReference w:type="default" r:id="rId13"/>
      <w:footerReference w:type="default" r:id="rId14"/>
      <w:pgSz w:w="11900" w:h="16840"/>
      <w:pgMar w:top="1304" w:right="1440" w:bottom="851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6178" w14:textId="77777777" w:rsidR="00A72BE9" w:rsidRDefault="00A72BE9" w:rsidP="00AB3F24">
      <w:r>
        <w:separator/>
      </w:r>
    </w:p>
  </w:endnote>
  <w:endnote w:type="continuationSeparator" w:id="0">
    <w:p w14:paraId="447A010B" w14:textId="77777777" w:rsidR="00A72BE9" w:rsidRDefault="00A72BE9" w:rsidP="00AB3F24">
      <w:r>
        <w:continuationSeparator/>
      </w:r>
    </w:p>
  </w:endnote>
  <w:endnote w:type="continuationNotice" w:id="1">
    <w:p w14:paraId="2C6568D2" w14:textId="77777777" w:rsidR="00776BD7" w:rsidRDefault="00776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637D" w14:textId="0B45D5B3" w:rsidR="00AB3F24" w:rsidRPr="00A04E53" w:rsidRDefault="00B23779" w:rsidP="00A04E53">
    <w:pPr>
      <w:pStyle w:val="Pieddepage"/>
      <w:jc w:val="center"/>
      <w:rPr>
        <w:rFonts w:ascii="Humnst777 BT" w:hAnsi="Humnst777 BT"/>
        <w:sz w:val="20"/>
        <w:szCs w:val="20"/>
      </w:rPr>
    </w:pPr>
    <w:r w:rsidRPr="00A04E53">
      <w:rPr>
        <w:rFonts w:ascii="Humnst777 BT" w:hAnsi="Humnst777 BT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02ED8C35" wp14:editId="70E182D2">
          <wp:simplePos x="0" y="0"/>
          <wp:positionH relativeFrom="column">
            <wp:posOffset>4506595</wp:posOffset>
          </wp:positionH>
          <wp:positionV relativeFrom="paragraph">
            <wp:posOffset>-371475</wp:posOffset>
          </wp:positionV>
          <wp:extent cx="2103120" cy="676910"/>
          <wp:effectExtent l="0" t="0" r="0" b="0"/>
          <wp:wrapNone/>
          <wp:docPr id="1" name="Picture 4" descr="/Volumes/LOCAL WORK/PROJECTS/2017 PROJECTS/2017 - Purpose Event/Assets/WGS&amp;YOU_LOGO_BG/LOGO/RGB PNG FILE/WGS&amp;YOU_LOGO_RGB_link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Volumes/LOCAL WORK/PROJECTS/2017 PROJECTS/2017 - Purpose Event/Assets/WGS&amp;YOU_LOGO_BG/LOGO/RGB PNG FILE/WGS&amp;YOU_LOGO_RGB_link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11" b="27858"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E53" w:rsidRPr="00A04E53">
      <w:rPr>
        <w:rFonts w:ascii="Humnst777 BT" w:hAnsi="Humnst777 BT"/>
        <w:sz w:val="20"/>
        <w:szCs w:val="20"/>
      </w:rPr>
      <w:fldChar w:fldCharType="begin"/>
    </w:r>
    <w:r w:rsidR="00A04E53" w:rsidRPr="00A04E53">
      <w:rPr>
        <w:rFonts w:ascii="Humnst777 BT" w:hAnsi="Humnst777 BT"/>
        <w:sz w:val="20"/>
        <w:szCs w:val="20"/>
      </w:rPr>
      <w:instrText xml:space="preserve"> PAGE   \* MERGEFORMAT </w:instrText>
    </w:r>
    <w:r w:rsidR="00A04E53" w:rsidRPr="00A04E53">
      <w:rPr>
        <w:rFonts w:ascii="Humnst777 BT" w:hAnsi="Humnst777 BT"/>
        <w:sz w:val="20"/>
        <w:szCs w:val="20"/>
      </w:rPr>
      <w:fldChar w:fldCharType="separate"/>
    </w:r>
    <w:r w:rsidR="005A54B2">
      <w:rPr>
        <w:rFonts w:ascii="Humnst777 BT" w:hAnsi="Humnst777 BT"/>
        <w:noProof/>
        <w:sz w:val="20"/>
        <w:szCs w:val="20"/>
      </w:rPr>
      <w:t>2</w:t>
    </w:r>
    <w:r w:rsidR="00A04E53" w:rsidRPr="00A04E53">
      <w:rPr>
        <w:rFonts w:ascii="Humnst777 BT" w:hAnsi="Humnst777 BT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C0BBD" w14:textId="77777777" w:rsidR="00A72BE9" w:rsidRDefault="00A72BE9" w:rsidP="00AB3F24">
      <w:r>
        <w:separator/>
      </w:r>
    </w:p>
  </w:footnote>
  <w:footnote w:type="continuationSeparator" w:id="0">
    <w:p w14:paraId="6C647C33" w14:textId="77777777" w:rsidR="00A72BE9" w:rsidRDefault="00A72BE9" w:rsidP="00AB3F24">
      <w:r>
        <w:continuationSeparator/>
      </w:r>
    </w:p>
  </w:footnote>
  <w:footnote w:type="continuationNotice" w:id="1">
    <w:p w14:paraId="4E248244" w14:textId="77777777" w:rsidR="00776BD7" w:rsidRDefault="00776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64C0" w14:textId="730AFCAF" w:rsidR="00AB3F24" w:rsidRDefault="00B2377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779075" wp14:editId="7A4C1DF5">
          <wp:simplePos x="0" y="0"/>
          <wp:positionH relativeFrom="column">
            <wp:posOffset>-748665</wp:posOffset>
          </wp:positionH>
          <wp:positionV relativeFrom="paragraph">
            <wp:posOffset>-310515</wp:posOffset>
          </wp:positionV>
          <wp:extent cx="3023235" cy="424815"/>
          <wp:effectExtent l="0" t="0" r="0" b="0"/>
          <wp:wrapNone/>
          <wp:docPr id="2" name="Picture 2" descr="/Volumes/LOCAL WORK/Dropbox/_Corporate/WGS Logo/William_Grant__5512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LOCAL WORK/Dropbox/_Corporate/WGS Logo/William_Grant__5512_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C5AF0"/>
    <w:multiLevelType w:val="multilevel"/>
    <w:tmpl w:val="C96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A04BD"/>
    <w:multiLevelType w:val="hybridMultilevel"/>
    <w:tmpl w:val="F1366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7011"/>
    <w:multiLevelType w:val="hybridMultilevel"/>
    <w:tmpl w:val="0EB6C8E2"/>
    <w:lvl w:ilvl="0" w:tplc="08090001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6" w15:restartNumberingAfterBreak="0">
    <w:nsid w:val="294B4C97"/>
    <w:multiLevelType w:val="multilevel"/>
    <w:tmpl w:val="16C8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4501F"/>
    <w:multiLevelType w:val="multilevel"/>
    <w:tmpl w:val="FC3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67CD6"/>
    <w:multiLevelType w:val="multilevel"/>
    <w:tmpl w:val="F858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0771F3"/>
    <w:multiLevelType w:val="hybridMultilevel"/>
    <w:tmpl w:val="9E303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D1A64"/>
    <w:multiLevelType w:val="hybridMultilevel"/>
    <w:tmpl w:val="B504E5F0"/>
    <w:lvl w:ilvl="0" w:tplc="F768D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059D0"/>
    <w:multiLevelType w:val="hybridMultilevel"/>
    <w:tmpl w:val="93EC6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867781">
    <w:abstractNumId w:val="5"/>
  </w:num>
  <w:num w:numId="2" w16cid:durableId="527640572">
    <w:abstractNumId w:val="0"/>
  </w:num>
  <w:num w:numId="3" w16cid:durableId="683363742">
    <w:abstractNumId w:val="10"/>
  </w:num>
  <w:num w:numId="4" w16cid:durableId="1842550054">
    <w:abstractNumId w:val="3"/>
  </w:num>
  <w:num w:numId="5" w16cid:durableId="2127196188">
    <w:abstractNumId w:val="2"/>
  </w:num>
  <w:num w:numId="6" w16cid:durableId="1149321716">
    <w:abstractNumId w:val="8"/>
  </w:num>
  <w:num w:numId="7" w16cid:durableId="1733771947">
    <w:abstractNumId w:val="15"/>
  </w:num>
  <w:num w:numId="8" w16cid:durableId="1396276285">
    <w:abstractNumId w:val="14"/>
  </w:num>
  <w:num w:numId="9" w16cid:durableId="253171424">
    <w:abstractNumId w:val="12"/>
  </w:num>
  <w:num w:numId="10" w16cid:durableId="1424104186">
    <w:abstractNumId w:val="11"/>
  </w:num>
  <w:num w:numId="11" w16cid:durableId="742527219">
    <w:abstractNumId w:val="6"/>
  </w:num>
  <w:num w:numId="12" w16cid:durableId="2033872795">
    <w:abstractNumId w:val="7"/>
  </w:num>
  <w:num w:numId="13" w16cid:durableId="1802920562">
    <w:abstractNumId w:val="9"/>
  </w:num>
  <w:num w:numId="14" w16cid:durableId="149099483">
    <w:abstractNumId w:val="1"/>
  </w:num>
  <w:num w:numId="15" w16cid:durableId="1661763567">
    <w:abstractNumId w:val="4"/>
  </w:num>
  <w:num w:numId="16" w16cid:durableId="1196231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80"/>
    <w:rsid w:val="000007A3"/>
    <w:rsid w:val="000256E0"/>
    <w:rsid w:val="0004696F"/>
    <w:rsid w:val="00054D06"/>
    <w:rsid w:val="000550D7"/>
    <w:rsid w:val="00063CDE"/>
    <w:rsid w:val="00082843"/>
    <w:rsid w:val="001354C6"/>
    <w:rsid w:val="00137720"/>
    <w:rsid w:val="00140CD3"/>
    <w:rsid w:val="00153B17"/>
    <w:rsid w:val="001771EA"/>
    <w:rsid w:val="00194C93"/>
    <w:rsid w:val="001A4936"/>
    <w:rsid w:val="001B684A"/>
    <w:rsid w:val="00203534"/>
    <w:rsid w:val="00221362"/>
    <w:rsid w:val="00236F22"/>
    <w:rsid w:val="00245881"/>
    <w:rsid w:val="00245F0B"/>
    <w:rsid w:val="0029557B"/>
    <w:rsid w:val="002D4185"/>
    <w:rsid w:val="00323EDE"/>
    <w:rsid w:val="0033173E"/>
    <w:rsid w:val="00382055"/>
    <w:rsid w:val="00404B88"/>
    <w:rsid w:val="0042639B"/>
    <w:rsid w:val="0044036B"/>
    <w:rsid w:val="00443B7A"/>
    <w:rsid w:val="0047018A"/>
    <w:rsid w:val="00483A83"/>
    <w:rsid w:val="004A6180"/>
    <w:rsid w:val="004A69C6"/>
    <w:rsid w:val="004B1313"/>
    <w:rsid w:val="004D153A"/>
    <w:rsid w:val="004D2DF9"/>
    <w:rsid w:val="004D6A10"/>
    <w:rsid w:val="004D6CD8"/>
    <w:rsid w:val="004F7BC7"/>
    <w:rsid w:val="00536C8B"/>
    <w:rsid w:val="00540413"/>
    <w:rsid w:val="00541C2D"/>
    <w:rsid w:val="00556683"/>
    <w:rsid w:val="005A54B2"/>
    <w:rsid w:val="006170E2"/>
    <w:rsid w:val="00631360"/>
    <w:rsid w:val="006B3960"/>
    <w:rsid w:val="006F140C"/>
    <w:rsid w:val="00724713"/>
    <w:rsid w:val="00725395"/>
    <w:rsid w:val="00734088"/>
    <w:rsid w:val="00745D70"/>
    <w:rsid w:val="007708FA"/>
    <w:rsid w:val="00776678"/>
    <w:rsid w:val="00776BD7"/>
    <w:rsid w:val="00837219"/>
    <w:rsid w:val="00895867"/>
    <w:rsid w:val="008C262E"/>
    <w:rsid w:val="00944BF6"/>
    <w:rsid w:val="00963EA5"/>
    <w:rsid w:val="00967774"/>
    <w:rsid w:val="00977543"/>
    <w:rsid w:val="009A1849"/>
    <w:rsid w:val="009C1A99"/>
    <w:rsid w:val="00A04E53"/>
    <w:rsid w:val="00A1070B"/>
    <w:rsid w:val="00A109C0"/>
    <w:rsid w:val="00A31D9E"/>
    <w:rsid w:val="00A40508"/>
    <w:rsid w:val="00A72BE9"/>
    <w:rsid w:val="00AA227F"/>
    <w:rsid w:val="00AA514B"/>
    <w:rsid w:val="00AB3F24"/>
    <w:rsid w:val="00AC6E16"/>
    <w:rsid w:val="00B23779"/>
    <w:rsid w:val="00B43523"/>
    <w:rsid w:val="00B43B25"/>
    <w:rsid w:val="00BA7B5B"/>
    <w:rsid w:val="00BB2EB3"/>
    <w:rsid w:val="00C2272B"/>
    <w:rsid w:val="00C337DB"/>
    <w:rsid w:val="00C5118A"/>
    <w:rsid w:val="00C520F4"/>
    <w:rsid w:val="00C76979"/>
    <w:rsid w:val="00C93589"/>
    <w:rsid w:val="00C9514A"/>
    <w:rsid w:val="00CA22AD"/>
    <w:rsid w:val="00CF6326"/>
    <w:rsid w:val="00D41827"/>
    <w:rsid w:val="00D419D6"/>
    <w:rsid w:val="00D42281"/>
    <w:rsid w:val="00D51BE1"/>
    <w:rsid w:val="00DA4435"/>
    <w:rsid w:val="00DA4952"/>
    <w:rsid w:val="00DE0F1E"/>
    <w:rsid w:val="00E06427"/>
    <w:rsid w:val="00E069D9"/>
    <w:rsid w:val="00E255FB"/>
    <w:rsid w:val="00E27911"/>
    <w:rsid w:val="00E36045"/>
    <w:rsid w:val="00E731E3"/>
    <w:rsid w:val="00EB2183"/>
    <w:rsid w:val="00EB6611"/>
    <w:rsid w:val="00ED3BCC"/>
    <w:rsid w:val="00F04C46"/>
    <w:rsid w:val="00F12F35"/>
    <w:rsid w:val="00F32617"/>
    <w:rsid w:val="00F87123"/>
    <w:rsid w:val="00F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01A0"/>
  <w14:defaultImageDpi w14:val="32767"/>
  <w15:chartTrackingRefBased/>
  <w15:docId w15:val="{2D950B4D-D2BB-447C-A3FB-A417B85A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3F2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B3F24"/>
  </w:style>
  <w:style w:type="paragraph" w:styleId="Pieddepage">
    <w:name w:val="footer"/>
    <w:basedOn w:val="Normal"/>
    <w:link w:val="PieddepageCar"/>
    <w:uiPriority w:val="99"/>
    <w:unhideWhenUsed/>
    <w:rsid w:val="00AB3F2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F24"/>
  </w:style>
  <w:style w:type="paragraph" w:styleId="Sansinterligne">
    <w:name w:val="No Spacing"/>
    <w:uiPriority w:val="1"/>
    <w:qFormat/>
    <w:rsid w:val="004A6180"/>
    <w:rPr>
      <w:rFonts w:ascii="Humnst777 BT" w:hAnsi="Humnst777 BT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59"/>
    <w:rsid w:val="004A6180"/>
    <w:rPr>
      <w:rFonts w:ascii="Humnst777 BT" w:hAnsi="Humnst777 B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18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C219E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styleId="lev">
    <w:name w:val="Strong"/>
    <w:uiPriority w:val="22"/>
    <w:qFormat/>
    <w:rsid w:val="00FC219E"/>
    <w:rPr>
      <w:b/>
      <w:bCs/>
    </w:rPr>
  </w:style>
  <w:style w:type="paragraph" w:styleId="Paragraphedeliste">
    <w:name w:val="List Paragraph"/>
    <w:basedOn w:val="Normal"/>
    <w:uiPriority w:val="1"/>
    <w:qFormat/>
    <w:rsid w:val="00C5118A"/>
    <w:pPr>
      <w:widowControl w:val="0"/>
      <w:autoSpaceDE w:val="0"/>
      <w:autoSpaceDN w:val="0"/>
      <w:ind w:left="836" w:hanging="360"/>
      <w:jc w:val="both"/>
    </w:pPr>
    <w:rPr>
      <w:rFonts w:ascii="Arial MT" w:eastAsia="Arial MT" w:hAnsi="Arial MT" w:cs="Arial MT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wikipedia.org/wiki/Scotch_whisk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val\Desktop\SP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96a534-4d0e-4083-b9c5-957a49efca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3C8BD6DBEB74ABBF0FC049FEDF132" ma:contentTypeVersion="15" ma:contentTypeDescription="Create a new document." ma:contentTypeScope="" ma:versionID="1355d2b5a7385feac0c2092d8222dc72">
  <xsd:schema xmlns:xsd="http://www.w3.org/2001/XMLSchema" xmlns:xs="http://www.w3.org/2001/XMLSchema" xmlns:p="http://schemas.microsoft.com/office/2006/metadata/properties" xmlns:ns3="e996a534-4d0e-4083-b9c5-957a49efca6c" xmlns:ns4="ebdba39f-5675-4973-adea-6ade290a935b" targetNamespace="http://schemas.microsoft.com/office/2006/metadata/properties" ma:root="true" ma:fieldsID="106d72763792cdfc8fd6942b3426a6d0" ns3:_="" ns4:_="">
    <xsd:import namespace="e996a534-4d0e-4083-b9c5-957a49efca6c"/>
    <xsd:import namespace="ebdba39f-5675-4973-adea-6ade290a9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a534-4d0e-4083-b9c5-957a49efc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ba39f-5675-4973-adea-6ade290a9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C6AD2-20D8-4E6D-9AC9-06DDFBD2C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F8864-8AA7-409A-B30C-7FBA018E67E2}">
  <ds:schemaRefs>
    <ds:schemaRef ds:uri="http://schemas.microsoft.com/office/2006/metadata/properties"/>
    <ds:schemaRef ds:uri="http://purl.org/dc/terms/"/>
    <ds:schemaRef ds:uri="e996a534-4d0e-4083-b9c5-957a49efca6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dba39f-5675-4973-adea-6ade290a935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FADD65-CA52-4B2E-AE69-BB9670F354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1D402-048F-451C-BB05-22ECE030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6a534-4d0e-4083-b9c5-957a49efca6c"/>
    <ds:schemaRef ds:uri="ebdba39f-5675-4973-adea-6ade290a9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SP Template</Template>
  <TotalTime>9</TotalTime>
  <Pages>3</Pages>
  <Words>795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William Grant &amp; Sons Ltd.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proval</dc:creator>
  <cp:keywords/>
  <cp:lastModifiedBy>Laure Franҫois</cp:lastModifiedBy>
  <cp:revision>3</cp:revision>
  <cp:lastPrinted>2017-08-01T21:54:00Z</cp:lastPrinted>
  <dcterms:created xsi:type="dcterms:W3CDTF">2025-04-18T09:49:00Z</dcterms:created>
  <dcterms:modified xsi:type="dcterms:W3CDTF">2025-04-18T09:56:00Z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0x0101008CD3C8BD6DBEB74ABBF0FC049FEDF132</vt:lpwstr>
  </property>
</Properties>
</file>