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385"/>
      </w:tblGrid>
      <w:tr w:rsidR="003E442E" w:rsidRPr="00A21517" w:rsidTr="003E442E">
        <w:trPr>
          <w:trHeight w:val="70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Job Title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FB2F41" w:rsidP="00107430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e-Commerce Brand Activation</w:t>
            </w:r>
            <w:r w:rsidR="00107430">
              <w:rPr>
                <w:rFonts w:cs="Calibri"/>
                <w:b/>
                <w:color w:val="000000"/>
                <w:sz w:val="20"/>
              </w:rPr>
              <w:t xml:space="preserve"> &amp; Digital Content </w:t>
            </w:r>
            <w:r>
              <w:rPr>
                <w:rFonts w:cs="Calibri"/>
                <w:b/>
                <w:color w:val="000000"/>
                <w:sz w:val="20"/>
              </w:rPr>
              <w:t>Manager</w:t>
            </w:r>
          </w:p>
        </w:tc>
      </w:tr>
      <w:tr w:rsidR="003E442E" w:rsidRPr="00A21517" w:rsidTr="003E442E">
        <w:trPr>
          <w:trHeight w:val="233"/>
        </w:trPr>
        <w:tc>
          <w:tcPr>
            <w:tcW w:w="279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Business Unit</w:t>
            </w:r>
          </w:p>
        </w:tc>
        <w:tc>
          <w:tcPr>
            <w:tcW w:w="6385" w:type="dxa"/>
            <w:tcBorders>
              <w:top w:val="single" w:sz="4" w:space="0" w:color="948A54"/>
            </w:tcBorders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Brande</w:t>
            </w:r>
            <w:bookmarkStart w:id="0" w:name="_GoBack"/>
            <w:bookmarkEnd w:id="0"/>
            <w:r>
              <w:rPr>
                <w:rFonts w:cs="Calibri"/>
                <w:color w:val="000000"/>
                <w:sz w:val="20"/>
              </w:rPr>
              <w:t>d Business Unit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Function/Region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Global Marketing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Location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Richmond/ Dublin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Leader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FB2F41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Global Head of e-Commerce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People Leadership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No</w:t>
            </w:r>
          </w:p>
        </w:tc>
      </w:tr>
      <w:tr w:rsidR="003E442E" w:rsidRPr="00A21517" w:rsidTr="003E442E">
        <w:trPr>
          <w:trHeight w:val="249"/>
        </w:trPr>
        <w:tc>
          <w:tcPr>
            <w:tcW w:w="279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b/>
                <w:color w:val="000000"/>
                <w:sz w:val="20"/>
              </w:rPr>
            </w:pPr>
            <w:r w:rsidRPr="00A21517">
              <w:rPr>
                <w:rFonts w:cs="Calibri"/>
                <w:b/>
                <w:color w:val="000000"/>
                <w:sz w:val="20"/>
              </w:rPr>
              <w:t>Job Level</w:t>
            </w:r>
          </w:p>
        </w:tc>
        <w:tc>
          <w:tcPr>
            <w:tcW w:w="6385" w:type="dxa"/>
            <w:shd w:val="clear" w:color="auto" w:fill="auto"/>
          </w:tcPr>
          <w:p w:rsidR="003E442E" w:rsidRPr="00A21517" w:rsidRDefault="003E442E" w:rsidP="00561E55">
            <w:pPr>
              <w:pStyle w:val="NoSpacing"/>
              <w:rPr>
                <w:rFonts w:cs="Calibri"/>
                <w:color w:val="000000"/>
                <w:sz w:val="20"/>
              </w:rPr>
            </w:pPr>
            <w:r w:rsidRPr="002E62C8">
              <w:rPr>
                <w:rFonts w:cs="Calibri"/>
                <w:sz w:val="20"/>
              </w:rPr>
              <w:t>4</w:t>
            </w:r>
            <w:r w:rsidR="00FB2F41">
              <w:rPr>
                <w:rFonts w:cs="Calibri"/>
                <w:sz w:val="20"/>
              </w:rPr>
              <w:t>A</w:t>
            </w:r>
          </w:p>
        </w:tc>
      </w:tr>
      <w:tr w:rsidR="003E442E" w:rsidRPr="00A21517" w:rsidTr="003E442E">
        <w:trPr>
          <w:trHeight w:val="1198"/>
        </w:trPr>
        <w:tc>
          <w:tcPr>
            <w:tcW w:w="9180" w:type="dxa"/>
            <w:gridSpan w:val="2"/>
            <w:shd w:val="clear" w:color="auto" w:fill="auto"/>
          </w:tcPr>
          <w:p w:rsidR="003E442E" w:rsidRPr="00A21517" w:rsidRDefault="003E442E" w:rsidP="00FB2F41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21517">
              <w:rPr>
                <w:rFonts w:cs="Calibri"/>
                <w:b/>
                <w:sz w:val="20"/>
              </w:rPr>
              <w:t xml:space="preserve">Role Purpose </w:t>
            </w:r>
          </w:p>
          <w:p w:rsidR="00FB2F41" w:rsidRPr="00FB2F41" w:rsidRDefault="00FB2F41" w:rsidP="00FB2F41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>Equip global / local brands with tools to maximise global e-commerce growth &amp; accelerate WG&amp;S online market share. Support senior e-commerce marketing manager in evolution of global brands across priority e-commerce markets &amp; retailers.</w:t>
            </w:r>
          </w:p>
          <w:p w:rsidR="003E442E" w:rsidRPr="00A21517" w:rsidRDefault="003E442E" w:rsidP="00FB2F41">
            <w:pPr>
              <w:jc w:val="both"/>
              <w:rPr>
                <w:rFonts w:ascii="Source Sans Pro" w:eastAsia="Humnst777 BT" w:hAnsi="Source Sans Pro" w:cs="Humnst777 BT"/>
                <w:b/>
                <w:bCs/>
                <w:sz w:val="20"/>
                <w:szCs w:val="20"/>
              </w:rPr>
            </w:pPr>
          </w:p>
        </w:tc>
      </w:tr>
      <w:tr w:rsidR="003E442E" w:rsidRPr="00A21517" w:rsidTr="003E442E">
        <w:trPr>
          <w:trHeight w:val="1375"/>
        </w:trPr>
        <w:tc>
          <w:tcPr>
            <w:tcW w:w="9180" w:type="dxa"/>
            <w:gridSpan w:val="2"/>
            <w:shd w:val="clear" w:color="auto" w:fill="auto"/>
          </w:tcPr>
          <w:p w:rsidR="003E442E" w:rsidRDefault="003E442E" w:rsidP="00FB2F41">
            <w:pPr>
              <w:pStyle w:val="NoSpacing"/>
              <w:jc w:val="both"/>
              <w:rPr>
                <w:rFonts w:cs="Calibri"/>
                <w:b/>
                <w:sz w:val="20"/>
              </w:rPr>
            </w:pPr>
            <w:r w:rsidRPr="00A21517">
              <w:rPr>
                <w:rFonts w:cs="Calibri"/>
                <w:b/>
                <w:sz w:val="20"/>
              </w:rPr>
              <w:t>Accountabilities</w:t>
            </w:r>
          </w:p>
          <w:p w:rsidR="00FB2F41" w:rsidRDefault="00FB2F41" w:rsidP="00FB2F41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contextualSpacing w:val="0"/>
              <w:jc w:val="both"/>
              <w:rPr>
                <w:rFonts w:ascii="Source Sans Pro" w:hAnsi="Source Sans Pro"/>
              </w:rPr>
            </w:pPr>
            <w:r w:rsidRPr="00FB2F41">
              <w:rPr>
                <w:rFonts w:ascii="Source Sans Pro" w:hAnsi="Source Sans Pro"/>
              </w:rPr>
              <w:t>Build e-commerce capability across global brand teams &amp;</w:t>
            </w:r>
            <w:r>
              <w:rPr>
                <w:rFonts w:ascii="Source Sans Pro" w:hAnsi="Source Sans Pro"/>
              </w:rPr>
              <w:t xml:space="preserve"> wider business to provide markets with ready to implement basic and enhanced e-commerce content.</w:t>
            </w:r>
          </w:p>
          <w:p w:rsidR="00FB2F41" w:rsidRPr="00FB2F41" w:rsidRDefault="00FB2F41" w:rsidP="00FB2F41">
            <w:pPr>
              <w:pStyle w:val="ListParagraph"/>
              <w:numPr>
                <w:ilvl w:val="0"/>
                <w:numId w:val="1"/>
              </w:numPr>
              <w:spacing w:after="200"/>
              <w:ind w:left="714" w:hanging="357"/>
              <w:contextualSpacing w:val="0"/>
              <w:jc w:val="both"/>
              <w:rPr>
                <w:rFonts w:ascii="Source Sans Pro" w:hAnsi="Source Sans Pro"/>
              </w:rPr>
            </w:pPr>
            <w:r w:rsidRPr="00FB2F41">
              <w:rPr>
                <w:rFonts w:ascii="Source Sans Pro" w:hAnsi="Source Sans Pro"/>
              </w:rPr>
              <w:t xml:space="preserve">Support the global e-commerce team on implementation of the next phase of building capability including management of DAM and PIM.   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eastAsia="Times New Roman" w:hAnsi="Source Sans Pro"/>
                <w:sz w:val="20"/>
                <w:szCs w:val="20"/>
              </w:rPr>
              <w:t>Facilitate the end to end deployment of global e-commerce assets, manage existing tech (</w:t>
            </w:r>
            <w:proofErr w:type="spellStart"/>
            <w:r w:rsidRPr="00FB2F41">
              <w:rPr>
                <w:rFonts w:ascii="Source Sans Pro" w:eastAsia="Times New Roman" w:hAnsi="Source Sans Pro"/>
                <w:sz w:val="20"/>
                <w:szCs w:val="20"/>
              </w:rPr>
              <w:t>Profitero</w:t>
            </w:r>
            <w:proofErr w:type="spellEnd"/>
            <w:r w:rsidRPr="00FB2F41">
              <w:rPr>
                <w:rFonts w:ascii="Source Sans Pro" w:eastAsia="Times New Roman" w:hAnsi="Source Sans Pro"/>
                <w:sz w:val="20"/>
                <w:szCs w:val="20"/>
              </w:rPr>
              <w:t xml:space="preserve"> / Data Impact) to ensure these are being deployed across global retailers.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eastAsia="Times New Roman" w:hAnsi="Source Sans Pro"/>
                <w:sz w:val="20"/>
                <w:szCs w:val="20"/>
              </w:rPr>
              <w:t>Champion &amp; evolve the tech stack that is central to automating the accessibility of digital assets and product information (DAM / PIM).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eastAsia="Times New Roman" w:hAnsi="Source Sans Pro"/>
                <w:sz w:val="20"/>
                <w:szCs w:val="20"/>
              </w:rPr>
              <w:t>Manage creative agencies to ensure relevant gaps being addressed across basic &amp; enhanced e-commerce brand content, in line with most relevant BVI.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>Support senior e-commerce marketing manager by working with local/global brand teams to ensure correct budget being allocated to e-commerce, build strategy around this budget including anticipated ROAS &amp; GCAS.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>Provide support on implementation of brand plans within priority e-commerce markets. Liaise with key contacts in brand, commercial &amp; other key functions to ensure campaigns landing effectively.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>Across ACE (advocacy, connections &amp; e-commerce) work hand in hand with connections managers to ensure synergy between brand plans &amp; e-commerce.</w:t>
            </w:r>
          </w:p>
          <w:p w:rsidR="00FB2F41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 xml:space="preserve">Support ad-hoc e-commerce projects. These projects will be varied and outside current skill set but could include things like: working with global retailers, new business models, budgeting, analysis, </w:t>
            </w:r>
            <w:proofErr w:type="gramStart"/>
            <w:r w:rsidRPr="00FB2F41">
              <w:rPr>
                <w:rFonts w:ascii="Source Sans Pro" w:hAnsi="Source Sans Pro"/>
                <w:sz w:val="20"/>
                <w:szCs w:val="20"/>
              </w:rPr>
              <w:t>tech</w:t>
            </w:r>
            <w:proofErr w:type="gramEnd"/>
            <w:r w:rsidRPr="00FB2F41">
              <w:rPr>
                <w:rFonts w:ascii="Source Sans Pro" w:hAnsi="Source Sans Pro"/>
                <w:sz w:val="20"/>
                <w:szCs w:val="20"/>
              </w:rPr>
              <w:t xml:space="preserve"> &amp; direct to consumer (DTC).</w:t>
            </w:r>
          </w:p>
          <w:p w:rsidR="003E442E" w:rsidRPr="00FB2F41" w:rsidRDefault="00FB2F41" w:rsidP="00FB2F41">
            <w:pPr>
              <w:numPr>
                <w:ilvl w:val="0"/>
                <w:numId w:val="1"/>
              </w:numPr>
              <w:spacing w:after="200"/>
              <w:jc w:val="both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FB2F41">
              <w:rPr>
                <w:rFonts w:ascii="Source Sans Pro" w:hAnsi="Source Sans Pro"/>
                <w:sz w:val="20"/>
                <w:szCs w:val="20"/>
              </w:rPr>
              <w:t>Define the role of brands within global e-commerce, ensure this is integrated into strategy and action plan in place to deliver against objectives.</w:t>
            </w:r>
          </w:p>
          <w:p w:rsidR="00FB2F41" w:rsidRPr="00FB2F41" w:rsidRDefault="00FB2F41" w:rsidP="00FB2F41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2F0763" w:rsidRDefault="002F0763" w:rsidP="00F3381A">
      <w:pPr>
        <w:pStyle w:val="NoSpacing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Tr="003E442E">
        <w:tc>
          <w:tcPr>
            <w:tcW w:w="9242" w:type="dxa"/>
          </w:tcPr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Values</w:t>
            </w:r>
          </w:p>
          <w:p w:rsidR="003E442E" w:rsidRPr="003E442E" w:rsidRDefault="003E442E" w:rsidP="003E442E">
            <w:pPr>
              <w:pStyle w:val="NoSpacing"/>
              <w:jc w:val="center"/>
              <w:rPr>
                <w:rFonts w:cs="Calibri"/>
                <w:b/>
                <w:sz w:val="20"/>
              </w:rPr>
            </w:pPr>
            <w:r w:rsidRPr="003E442E">
              <w:rPr>
                <w:rFonts w:cs="Calibri"/>
                <w:noProof/>
                <w:color w:val="000000"/>
                <w:sz w:val="20"/>
                <w:lang w:eastAsia="en-GB"/>
              </w:rPr>
              <w:drawing>
                <wp:inline distT="0" distB="0" distL="0" distR="0">
                  <wp:extent cx="4448175" cy="1695450"/>
                  <wp:effectExtent l="0" t="0" r="0" b="0"/>
                  <wp:docPr id="3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42E" w:rsidRDefault="003E442E" w:rsidP="00F3381A">
      <w:pPr>
        <w:pStyle w:val="NoSpacing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442E" w:rsidTr="003E442E">
        <w:trPr>
          <w:trHeight w:val="6784"/>
        </w:trPr>
        <w:tc>
          <w:tcPr>
            <w:tcW w:w="9242" w:type="dxa"/>
          </w:tcPr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Core Competencies</w:t>
            </w:r>
          </w:p>
          <w:p w:rsidR="003E442E" w:rsidRDefault="003E442E" w:rsidP="003E442E">
            <w:pPr>
              <w:pStyle w:val="NoSpacing"/>
              <w:rPr>
                <w:rFonts w:cs="Calibri"/>
                <w:b/>
                <w:sz w:val="20"/>
              </w:rPr>
            </w:pP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0"/>
              <w:gridCol w:w="4470"/>
            </w:tblGrid>
            <w:tr w:rsidR="003E442E" w:rsidRPr="00D171F2" w:rsidTr="00D171F2">
              <w:tc>
                <w:tcPr>
                  <w:tcW w:w="4320" w:type="dxa"/>
                  <w:shd w:val="clear" w:color="auto" w:fill="auto"/>
                </w:tcPr>
                <w:p w:rsidR="00FB2F41" w:rsidRPr="00D171F2" w:rsidRDefault="00FB2F41" w:rsidP="00FB2F41">
                  <w:pPr>
                    <w:rPr>
                      <w:rFonts w:ascii="Source Sans Pro" w:hAnsi="Source Sans Pro"/>
                      <w:b/>
                      <w:sz w:val="20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 w:val="20"/>
                      <w:szCs w:val="20"/>
                    </w:rPr>
                    <w:t>Applying Expertise &amp; Technology</w:t>
                  </w:r>
                </w:p>
                <w:p w:rsidR="00FB2F41" w:rsidRPr="00D171F2" w:rsidRDefault="00FB2F41" w:rsidP="00FB2F4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D171F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Applies specialist and detailed technical expertise</w:t>
                  </w:r>
                </w:p>
                <w:p w:rsidR="00FB2F41" w:rsidRPr="00D171F2" w:rsidRDefault="00FB2F41" w:rsidP="00FB2F4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D171F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Develops job knowledge and expertise through continual professional development</w:t>
                  </w:r>
                </w:p>
                <w:p w:rsidR="00FB2F41" w:rsidRPr="00D171F2" w:rsidRDefault="00FB2F41" w:rsidP="00FB2F4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D171F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Shares expertise and knowledge with others</w:t>
                  </w:r>
                </w:p>
                <w:p w:rsidR="00FB2F41" w:rsidRPr="00D171F2" w:rsidRDefault="00FB2F41" w:rsidP="00FB2F4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D171F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Uses technology to achieve work objectives</w:t>
                  </w:r>
                </w:p>
                <w:p w:rsidR="003E442E" w:rsidRPr="00D171F2" w:rsidRDefault="00FB2F41" w:rsidP="00FB2F41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  <w:r w:rsidRPr="00D171F2"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  <w:t>Demonstrates an understanding of different organisational departments and functions</w:t>
                  </w:r>
                </w:p>
                <w:p w:rsidR="00FB2F41" w:rsidRPr="00D171F2" w:rsidRDefault="00FB2F41" w:rsidP="00FB2F41">
                  <w:pPr>
                    <w:pStyle w:val="Default"/>
                    <w:ind w:left="360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470" w:type="dxa"/>
                  <w:shd w:val="clear" w:color="auto" w:fill="auto"/>
                </w:tcPr>
                <w:p w:rsidR="00FB2F41" w:rsidRPr="00D171F2" w:rsidRDefault="00FB2F41" w:rsidP="00FB2F41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Cs w:val="20"/>
                    </w:rPr>
                    <w:t>Formulating Strategies and Concepts</w:t>
                  </w:r>
                </w:p>
                <w:p w:rsidR="00FB2F41" w:rsidRPr="00D171F2" w:rsidRDefault="00FB2F41" w:rsidP="00FB2F41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Works strategically to realise organisational goals</w:t>
                  </w:r>
                </w:p>
                <w:p w:rsidR="00FB2F41" w:rsidRPr="00D171F2" w:rsidRDefault="00FB2F41" w:rsidP="00FB2F41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Sets and develops strategies</w:t>
                  </w:r>
                </w:p>
                <w:p w:rsidR="00FB2F41" w:rsidRPr="00D171F2" w:rsidRDefault="00FB2F41" w:rsidP="00FB2F41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Identifies, develops positive and compelling visions of the organisation’s future potential</w:t>
                  </w:r>
                </w:p>
                <w:p w:rsidR="003E442E" w:rsidRPr="00D171F2" w:rsidRDefault="00FB2F41" w:rsidP="00FB2F41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Takes account of a wide range of issues across, and related to, the organisation</w:t>
                  </w:r>
                </w:p>
                <w:p w:rsidR="00FB2F41" w:rsidRPr="00D171F2" w:rsidRDefault="00FB2F41" w:rsidP="00FB2F41">
                  <w:pPr>
                    <w:pStyle w:val="BodyCopy"/>
                    <w:ind w:left="227"/>
                    <w:rPr>
                      <w:rFonts w:ascii="Source Sans Pro" w:hAnsi="Source Sans Pro"/>
                      <w:szCs w:val="20"/>
                    </w:rPr>
                  </w:pPr>
                </w:p>
              </w:tc>
            </w:tr>
            <w:tr w:rsidR="003E442E" w:rsidRPr="00D171F2" w:rsidTr="00D171F2">
              <w:trPr>
                <w:trHeight w:val="1954"/>
              </w:trPr>
              <w:tc>
                <w:tcPr>
                  <w:tcW w:w="4320" w:type="dxa"/>
                  <w:shd w:val="clear" w:color="auto" w:fill="auto"/>
                </w:tcPr>
                <w:p w:rsidR="00D171F2" w:rsidRPr="00D171F2" w:rsidRDefault="00D171F2" w:rsidP="00D171F2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Cs w:val="20"/>
                    </w:rPr>
                    <w:t>Persuading and Influencing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Makes a strong personal impression on others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Gains clear agreement and commitment from others by persuading, convincing and negotiating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Promotes ideas on behalf of self or others</w:t>
                  </w:r>
                </w:p>
                <w:p w:rsidR="003E442E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Makes effective use of political processes to influence and persuade others</w:t>
                  </w:r>
                </w:p>
                <w:p w:rsidR="00D171F2" w:rsidRPr="00D171F2" w:rsidRDefault="00D171F2" w:rsidP="00D171F2">
                  <w:pPr>
                    <w:pStyle w:val="BodyCopy"/>
                    <w:ind w:left="227"/>
                    <w:rPr>
                      <w:rFonts w:ascii="Source Sans Pro" w:hAnsi="Source Sans Pro"/>
                      <w:szCs w:val="20"/>
                    </w:rPr>
                  </w:pPr>
                </w:p>
              </w:tc>
              <w:tc>
                <w:tcPr>
                  <w:tcW w:w="4470" w:type="dxa"/>
                  <w:shd w:val="clear" w:color="auto" w:fill="auto"/>
                </w:tcPr>
                <w:p w:rsidR="00D171F2" w:rsidRPr="00D171F2" w:rsidRDefault="00D171F2" w:rsidP="00D171F2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Cs w:val="20"/>
                    </w:rPr>
                    <w:t>Creating and Innovating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Produces new ideas, approaches, or insights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Creates innovative products or designs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 xml:space="preserve">Produces a range of solutions to problems. 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 xml:space="preserve">Seeks opportunities for organisational improvement 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7"/>
                    </w:numPr>
                    <w:ind w:left="227" w:hanging="227"/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Devises effective change initiatives</w:t>
                  </w:r>
                </w:p>
                <w:p w:rsidR="003E442E" w:rsidRPr="00D171F2" w:rsidRDefault="003E442E" w:rsidP="00D171F2">
                  <w:pPr>
                    <w:pStyle w:val="BodyCopy"/>
                    <w:rPr>
                      <w:rFonts w:ascii="Source Sans Pro" w:hAnsi="Source Sans Pro"/>
                      <w:color w:val="000000"/>
                      <w:szCs w:val="20"/>
                    </w:rPr>
                  </w:pPr>
                </w:p>
              </w:tc>
            </w:tr>
            <w:tr w:rsidR="00D171F2" w:rsidRPr="00D171F2" w:rsidTr="00D171F2">
              <w:tc>
                <w:tcPr>
                  <w:tcW w:w="4320" w:type="dxa"/>
                  <w:shd w:val="clear" w:color="auto" w:fill="auto"/>
                </w:tcPr>
                <w:p w:rsidR="00D171F2" w:rsidRPr="00D171F2" w:rsidRDefault="00D171F2" w:rsidP="00D171F2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Cs w:val="20"/>
                    </w:rPr>
                    <w:t>Analysing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Analyses numerical data, verbal data and all other sources of information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Breaks information into component parts, patterns and relationships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Probes for further information or greater understanding of a problem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Makes rational judgements from the available information and analysis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Produces workable solutions to a range of problems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szCs w:val="20"/>
                    </w:rPr>
                    <w:t>Demonstrates an understanding of how one issue may be a part of a much larger system</w:t>
                  </w:r>
                </w:p>
                <w:p w:rsidR="00D171F2" w:rsidRPr="00D171F2" w:rsidRDefault="00D171F2" w:rsidP="00D171F2">
                  <w:pPr>
                    <w:pStyle w:val="Default"/>
                    <w:rPr>
                      <w:rFonts w:ascii="Source Sans Pro" w:hAnsi="Source Sans Pr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470" w:type="dxa"/>
                  <w:shd w:val="clear" w:color="auto" w:fill="auto"/>
                </w:tcPr>
                <w:p w:rsidR="00D171F2" w:rsidRPr="00D171F2" w:rsidRDefault="00D171F2" w:rsidP="00D171F2">
                  <w:pPr>
                    <w:pStyle w:val="BodyCopy"/>
                    <w:rPr>
                      <w:rFonts w:ascii="Source Sans Pro" w:hAnsi="Source Sans Pro"/>
                      <w:b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b/>
                      <w:szCs w:val="20"/>
                    </w:rPr>
                    <w:t>Presenting and Communicating Information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color w:val="000000"/>
                      <w:szCs w:val="20"/>
                    </w:rPr>
                    <w:t>Expresses opinions, information and key points of an argument clearly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color w:val="000000"/>
                      <w:szCs w:val="20"/>
                    </w:rPr>
                    <w:t>Makes presentations and undertakes public speaking with skill and confidence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color w:val="000000"/>
                      <w:szCs w:val="20"/>
                    </w:rPr>
                    <w:t>Responds quickly to the needs of an audience and to their reactions and feedback</w:t>
                  </w:r>
                </w:p>
                <w:p w:rsidR="00D171F2" w:rsidRPr="00D171F2" w:rsidRDefault="00D171F2" w:rsidP="00D171F2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color w:val="000000"/>
                      <w:szCs w:val="20"/>
                    </w:rPr>
                  </w:pPr>
                  <w:r w:rsidRPr="00D171F2">
                    <w:rPr>
                      <w:rFonts w:ascii="Source Sans Pro" w:hAnsi="Source Sans Pro"/>
                      <w:color w:val="000000"/>
                      <w:szCs w:val="20"/>
                    </w:rPr>
                    <w:t>Projects credibility</w:t>
                  </w:r>
                </w:p>
              </w:tc>
            </w:tr>
          </w:tbl>
          <w:p w:rsidR="003E442E" w:rsidRDefault="003E442E" w:rsidP="00F3381A">
            <w:pPr>
              <w:pStyle w:val="NoSpacing"/>
              <w:rPr>
                <w:color w:val="000000"/>
              </w:rPr>
            </w:pPr>
          </w:p>
        </w:tc>
      </w:tr>
    </w:tbl>
    <w:p w:rsidR="003E442E" w:rsidRDefault="003E442E" w:rsidP="00F3381A">
      <w:pPr>
        <w:pStyle w:val="NoSpacing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AF1" w:rsidTr="00463AF1">
        <w:tc>
          <w:tcPr>
            <w:tcW w:w="9016" w:type="dxa"/>
          </w:tcPr>
          <w:p w:rsidR="00463AF1" w:rsidRDefault="00463AF1" w:rsidP="00F3381A">
            <w:pPr>
              <w:pStyle w:val="NoSpacing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Skills and Qualifications</w:t>
            </w:r>
          </w:p>
          <w:p w:rsidR="00463AF1" w:rsidRP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/>
                <w:sz w:val="20"/>
                <w:szCs w:val="20"/>
              </w:rPr>
            </w:pPr>
            <w:r w:rsidRPr="00463AF1">
              <w:rPr>
                <w:rFonts w:ascii="Source Sans Pro" w:hAnsi="Source Sans Pro"/>
                <w:sz w:val="20"/>
                <w:szCs w:val="20"/>
              </w:rPr>
              <w:t>Creative flair around digital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asset management &amp; SEO content.</w:t>
            </w:r>
          </w:p>
          <w:p w:rsid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/>
                <w:sz w:val="20"/>
                <w:szCs w:val="20"/>
              </w:rPr>
            </w:pPr>
            <w:r w:rsidRPr="00463AF1">
              <w:rPr>
                <w:rFonts w:ascii="Source Sans Pro" w:hAnsi="Source Sans Pro"/>
                <w:sz w:val="20"/>
                <w:szCs w:val="20"/>
              </w:rPr>
              <w:t>Experience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of creative agency management.</w:t>
            </w:r>
          </w:p>
          <w:p w:rsidR="00463AF1" w:rsidRP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/>
                <w:sz w:val="20"/>
                <w:szCs w:val="20"/>
              </w:rPr>
            </w:pPr>
            <w:r w:rsidRPr="00463AF1">
              <w:rPr>
                <w:rFonts w:ascii="Source Sans Pro" w:hAnsi="Source Sans Pro"/>
                <w:sz w:val="20"/>
                <w:szCs w:val="20"/>
              </w:rPr>
              <w:t>Management of tech (PIM/DAM/syndication/Digital Shelf) that supports global distribution of digital assets</w:t>
            </w:r>
            <w:r>
              <w:rPr>
                <w:rFonts w:ascii="Source Sans Pro" w:hAnsi="Source Sans Pro"/>
                <w:sz w:val="20"/>
                <w:szCs w:val="20"/>
              </w:rPr>
              <w:t>.</w:t>
            </w:r>
          </w:p>
          <w:p w:rsidR="00463AF1" w:rsidRP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 w:cs="Arial"/>
                <w:sz w:val="20"/>
                <w:szCs w:val="20"/>
              </w:rPr>
            </w:pPr>
            <w:r w:rsidRPr="00463AF1">
              <w:rPr>
                <w:rFonts w:ascii="Source Sans Pro" w:hAnsi="Source Sans Pro" w:cs="Arial"/>
                <w:sz w:val="20"/>
                <w:szCs w:val="20"/>
              </w:rPr>
              <w:t xml:space="preserve">Excellent communication skills (oral and written) </w:t>
            </w:r>
            <w:r>
              <w:rPr>
                <w:rFonts w:ascii="Source Sans Pro" w:hAnsi="Source Sans Pro" w:cs="Arial"/>
                <w:sz w:val="20"/>
                <w:szCs w:val="20"/>
              </w:rPr>
              <w:t>with strong presentation skills.</w:t>
            </w:r>
          </w:p>
          <w:p w:rsidR="00463AF1" w:rsidRP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 w:cs="Arial"/>
                <w:sz w:val="20"/>
                <w:szCs w:val="20"/>
              </w:rPr>
            </w:pPr>
            <w:r w:rsidRPr="00463AF1">
              <w:rPr>
                <w:rFonts w:ascii="Source Sans Pro" w:hAnsi="Source Sans Pro" w:cs="Arial"/>
                <w:sz w:val="20"/>
                <w:szCs w:val="20"/>
              </w:rPr>
              <w:t>Good analytical capability, able to evaluate different metrics to understand campaign ROI</w:t>
            </w:r>
            <w:r>
              <w:rPr>
                <w:rFonts w:ascii="Source Sans Pro" w:hAnsi="Source Sans Pro" w:cs="Arial"/>
                <w:sz w:val="20"/>
                <w:szCs w:val="20"/>
              </w:rPr>
              <w:t>.</w:t>
            </w:r>
          </w:p>
          <w:p w:rsidR="00463AF1" w:rsidRPr="00463AF1" w:rsidRDefault="00463AF1" w:rsidP="00463AF1">
            <w:pPr>
              <w:numPr>
                <w:ilvl w:val="0"/>
                <w:numId w:val="12"/>
              </w:numPr>
              <w:rPr>
                <w:rFonts w:ascii="Source Sans Pro" w:hAnsi="Source Sans Pro"/>
                <w:sz w:val="20"/>
                <w:szCs w:val="20"/>
              </w:rPr>
            </w:pPr>
            <w:r w:rsidRPr="00463AF1">
              <w:rPr>
                <w:rFonts w:ascii="Source Sans Pro" w:hAnsi="Source Sans Pro" w:cs="Arial"/>
                <w:sz w:val="20"/>
                <w:szCs w:val="20"/>
              </w:rPr>
              <w:t>Track record of key stake</w:t>
            </w:r>
            <w:r>
              <w:rPr>
                <w:rFonts w:ascii="Source Sans Pro" w:hAnsi="Source Sans Pro" w:cs="Arial"/>
                <w:sz w:val="20"/>
                <w:szCs w:val="20"/>
              </w:rPr>
              <w:t>holder engagement and influence.</w:t>
            </w:r>
          </w:p>
          <w:p w:rsidR="00463AF1" w:rsidRPr="00463AF1" w:rsidRDefault="00463AF1" w:rsidP="00463AF1">
            <w:pPr>
              <w:pStyle w:val="NoSpacing"/>
              <w:ind w:left="360"/>
              <w:rPr>
                <w:b/>
                <w:color w:val="000000"/>
              </w:rPr>
            </w:pPr>
          </w:p>
        </w:tc>
      </w:tr>
    </w:tbl>
    <w:p w:rsidR="003E442E" w:rsidRDefault="003E442E" w:rsidP="00F3381A">
      <w:pPr>
        <w:pStyle w:val="NoSpacing"/>
        <w:rPr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372"/>
      </w:tblGrid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Created by: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D171F2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Dom Parfitt</w:t>
            </w:r>
          </w:p>
        </w:tc>
      </w:tr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Date: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15</w:t>
            </w:r>
            <w:r w:rsidRPr="002E62C8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June</w:t>
            </w:r>
            <w:r w:rsidRPr="00A21517">
              <w:rPr>
                <w:rFonts w:ascii="Source Sans Pro" w:hAnsi="Source Sans Pro" w:cs="Calibri"/>
                <w:sz w:val="20"/>
                <w:szCs w:val="20"/>
              </w:rPr>
              <w:t xml:space="preserve"> 2021</w:t>
            </w:r>
          </w:p>
        </w:tc>
      </w:tr>
      <w:tr w:rsidR="003E442E" w:rsidRPr="00A21517" w:rsidTr="003E442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HRBP: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Liam MacNamee</w:t>
            </w:r>
          </w:p>
        </w:tc>
      </w:tr>
      <w:tr w:rsidR="003E442E" w:rsidRPr="00A21517" w:rsidTr="003E442E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3E442E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 w:rsidRPr="00A21517">
              <w:rPr>
                <w:rFonts w:ascii="Source Sans Pro" w:hAnsi="Source Sans Pro" w:cs="Calibri"/>
                <w:sz w:val="20"/>
                <w:szCs w:val="20"/>
              </w:rPr>
              <w:t>Date of last revision: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2E" w:rsidRPr="00A21517" w:rsidRDefault="00D171F2" w:rsidP="00561E55">
            <w:pPr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>21</w:t>
            </w:r>
            <w:r w:rsidRPr="00D171F2">
              <w:rPr>
                <w:rFonts w:ascii="Source Sans Pro" w:hAnsi="Source Sans Pro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</w:t>
            </w:r>
            <w:r w:rsidR="003E442E">
              <w:rPr>
                <w:rFonts w:ascii="Source Sans Pro" w:hAnsi="Source Sans Pro" w:cs="Calibri"/>
                <w:sz w:val="20"/>
                <w:szCs w:val="20"/>
              </w:rPr>
              <w:t>June</w:t>
            </w:r>
            <w:r w:rsidR="003E442E" w:rsidRPr="00A21517">
              <w:rPr>
                <w:rFonts w:ascii="Source Sans Pro" w:hAnsi="Source Sans Pro" w:cs="Calibri"/>
                <w:sz w:val="20"/>
                <w:szCs w:val="20"/>
              </w:rPr>
              <w:t xml:space="preserve"> 2021</w:t>
            </w:r>
          </w:p>
        </w:tc>
      </w:tr>
    </w:tbl>
    <w:p w:rsidR="003E442E" w:rsidRPr="003E442E" w:rsidRDefault="003E442E" w:rsidP="00F3381A">
      <w:pPr>
        <w:pStyle w:val="NoSpacing"/>
        <w:rPr>
          <w:color w:val="000000"/>
        </w:rPr>
      </w:pPr>
    </w:p>
    <w:sectPr w:rsidR="003E442E" w:rsidRPr="003E442E" w:rsidSect="003E442E">
      <w:head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94" w:rsidRDefault="00D90094" w:rsidP="003E442E">
      <w:r>
        <w:separator/>
      </w:r>
    </w:p>
  </w:endnote>
  <w:endnote w:type="continuationSeparator" w:id="0">
    <w:p w:rsidR="00D90094" w:rsidRDefault="00D90094" w:rsidP="003E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Calibri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94" w:rsidRDefault="00D90094" w:rsidP="003E442E">
      <w:r>
        <w:separator/>
      </w:r>
    </w:p>
  </w:footnote>
  <w:footnote w:type="continuationSeparator" w:id="0">
    <w:p w:rsidR="00D90094" w:rsidRDefault="00D90094" w:rsidP="003E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2E" w:rsidRDefault="003E442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-131445</wp:posOffset>
          </wp:positionV>
          <wp:extent cx="3023235" cy="424815"/>
          <wp:effectExtent l="0" t="0" r="0" b="0"/>
          <wp:wrapNone/>
          <wp:docPr id="2" name="Picture 14" descr="/Volumes/LOCAL WORK/Dropbox/_Corporate/WGS Logo/William_Grant__5512_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Volumes/LOCAL WORK/Dropbox/_Corporate/WGS Logo/William_Grant__5512_Orig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B1C22"/>
    <w:multiLevelType w:val="multilevel"/>
    <w:tmpl w:val="A3BAB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1523D"/>
    <w:multiLevelType w:val="hybridMultilevel"/>
    <w:tmpl w:val="484E3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C6990"/>
    <w:multiLevelType w:val="hybridMultilevel"/>
    <w:tmpl w:val="BC4C2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52C54"/>
    <w:multiLevelType w:val="hybridMultilevel"/>
    <w:tmpl w:val="96363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17F28"/>
    <w:multiLevelType w:val="hybridMultilevel"/>
    <w:tmpl w:val="A50A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55A"/>
    <w:multiLevelType w:val="hybridMultilevel"/>
    <w:tmpl w:val="7F52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40A"/>
    <w:multiLevelType w:val="hybridMultilevel"/>
    <w:tmpl w:val="1C4E3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7251F9"/>
    <w:multiLevelType w:val="hybridMultilevel"/>
    <w:tmpl w:val="F59C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E"/>
    <w:rsid w:val="00107430"/>
    <w:rsid w:val="002F0763"/>
    <w:rsid w:val="003E442E"/>
    <w:rsid w:val="00463AF1"/>
    <w:rsid w:val="006927FF"/>
    <w:rsid w:val="007E2A12"/>
    <w:rsid w:val="00815180"/>
    <w:rsid w:val="008F6CD5"/>
    <w:rsid w:val="00954363"/>
    <w:rsid w:val="00B3788F"/>
    <w:rsid w:val="00B52B91"/>
    <w:rsid w:val="00BD0CF5"/>
    <w:rsid w:val="00D171F2"/>
    <w:rsid w:val="00D90094"/>
    <w:rsid w:val="00D97492"/>
    <w:rsid w:val="00E97B96"/>
    <w:rsid w:val="00F3381A"/>
    <w:rsid w:val="00FB2F41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407C1"/>
  <w15:chartTrackingRefBased/>
  <w15:docId w15:val="{B2355584-44EA-4197-BCC5-846B6D21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Calibri" w:hAnsi="Source Sans Pr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2E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="Times New Roman" w:hAnsi="Source Sans Pro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="Times New Roman" w:hAnsi="Source Sans Pro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954363"/>
    <w:rPr>
      <w:rFonts w:ascii="Source Sans Pro Black" w:eastAsia="Times New Roman" w:hAnsi="Source Sans Pro Black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54363"/>
    <w:rPr>
      <w:rFonts w:ascii="Source Sans Pro Black" w:eastAsia="Times New Roman" w:hAnsi="Source Sans Pro Black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954363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54363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954363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954363"/>
    <w:rPr>
      <w:rFonts w:eastAsia="Times New Roman"/>
      <w:b/>
      <w:bCs/>
      <w:szCs w:val="22"/>
    </w:rPr>
  </w:style>
  <w:style w:type="character" w:customStyle="1" w:styleId="Heading7Char">
    <w:name w:val="Heading 7 Char"/>
    <w:link w:val="Heading7"/>
    <w:uiPriority w:val="9"/>
    <w:rsid w:val="00954363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954363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954363"/>
    <w:rPr>
      <w:rFonts w:eastAsia="Times New Roman" w:cs="Times New Roman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="Times New Roman" w:hAnsi="Source Sans Pro Black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4363"/>
    <w:rPr>
      <w:rFonts w:ascii="Source Sans Pro Black" w:eastAsia="Times New Roman" w:hAnsi="Source Sans Pro Black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954363"/>
    <w:rPr>
      <w:rFonts w:eastAsia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954363"/>
    <w:rPr>
      <w:rFonts w:ascii="Source Sans Pro" w:hAnsi="Source Sans Pro"/>
      <w:i/>
      <w:iCs/>
      <w:color w:val="404040"/>
    </w:rPr>
  </w:style>
  <w:style w:type="character" w:styleId="Emphasis">
    <w:name w:val="Emphasis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uiPriority w:val="21"/>
    <w:qFormat/>
    <w:rsid w:val="00954363"/>
    <w:rPr>
      <w:rFonts w:ascii="Source Sans Pro" w:hAnsi="Source Sans Pro"/>
      <w:i/>
      <w:iCs/>
      <w:color w:val="4F81BD"/>
    </w:rPr>
  </w:style>
  <w:style w:type="character" w:styleId="Strong">
    <w:name w:val="Strong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5436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363"/>
    <w:rPr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42E"/>
    <w:rPr>
      <w:rFonts w:ascii="Calibri" w:hAnsi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4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2E"/>
    <w:rPr>
      <w:rFonts w:ascii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3E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442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BodyCopy">
    <w:name w:val="Body Copy"/>
    <w:basedOn w:val="Normal"/>
    <w:rsid w:val="003E442E"/>
    <w:rPr>
      <w:rFonts w:ascii="Humnst777 BT" w:eastAsia="Times New Roman" w:hAnsi="Humnst777 BT"/>
      <w:sz w:val="20"/>
    </w:rPr>
  </w:style>
  <w:style w:type="paragraph" w:styleId="ListParagraph">
    <w:name w:val="List Paragraph"/>
    <w:basedOn w:val="Normal"/>
    <w:uiPriority w:val="34"/>
    <w:qFormat/>
    <w:rsid w:val="00FB2F41"/>
    <w:pPr>
      <w:ind w:left="720"/>
      <w:contextualSpacing/>
    </w:pPr>
    <w:rPr>
      <w:rFonts w:ascii="Humnst777 BT" w:eastAsia="Times New Roman" w:hAnsi="Humnst777 B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Grant &amp; Sons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MacNamee</dc:creator>
  <cp:keywords/>
  <dc:description/>
  <cp:lastModifiedBy>Liam MacNamee</cp:lastModifiedBy>
  <cp:revision>4</cp:revision>
  <dcterms:created xsi:type="dcterms:W3CDTF">2021-07-05T09:23:00Z</dcterms:created>
  <dcterms:modified xsi:type="dcterms:W3CDTF">2021-07-05T12:34:00Z</dcterms:modified>
</cp:coreProperties>
</file>