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26389" w14:textId="79853A32" w:rsidR="002775AB" w:rsidRPr="004A2E53" w:rsidRDefault="004A2E53" w:rsidP="00F367C5">
      <w:pPr>
        <w:pStyle w:val="Heading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2775AB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14B536DB" w:rsidR="002775AB" w:rsidRPr="00514148" w:rsidRDefault="00293ED7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Role</w:t>
            </w:r>
            <w:r w:rsidR="002775AB"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58BE2E26" w:rsidR="002775AB" w:rsidRPr="00514148" w:rsidRDefault="00484AF7" w:rsidP="00D533DB">
            <w:pPr>
              <w:pStyle w:val="NoSpacing"/>
              <w:rPr>
                <w:rFonts w:ascii="Source Sans Pro" w:eastAsiaTheme="minorEastAsia" w:hAnsi="Source Sans Pro" w:cs="Calibri"/>
                <w:b/>
                <w:color w:val="000000"/>
                <w:lang w:eastAsia="ko-KR"/>
              </w:rPr>
            </w:pPr>
            <w:r>
              <w:rPr>
                <w:rStyle w:val="normaltextrun"/>
                <w:rFonts w:ascii="Source Sans Pro" w:hAnsi="Source Sans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Insights Analyst</w:t>
            </w:r>
          </w:p>
        </w:tc>
      </w:tr>
      <w:tr w:rsidR="002775AB" w:rsidRPr="002775AB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514148" w:rsidRDefault="002775AB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43E0252A" w:rsidR="002775AB" w:rsidRPr="00514148" w:rsidRDefault="00C8523A" w:rsidP="00D533DB">
            <w:pPr>
              <w:pStyle w:val="NoSpacing"/>
              <w:rPr>
                <w:rFonts w:ascii="Source Sans Pro" w:eastAsiaTheme="minorEastAsia" w:hAnsi="Source Sans Pro" w:cs="Calibri"/>
                <w:color w:val="000000"/>
                <w:lang w:eastAsia="ko-KR"/>
              </w:rPr>
            </w:pPr>
            <w:r w:rsidRPr="00514148">
              <w:rPr>
                <w:rFonts w:ascii="Source Sans Pro" w:eastAsiaTheme="minorEastAsia" w:hAnsi="Source Sans Pro" w:cs="Calibri"/>
                <w:color w:val="000000"/>
                <w:lang w:eastAsia="ko-KR"/>
              </w:rPr>
              <w:t>ODC</w:t>
            </w:r>
          </w:p>
        </w:tc>
      </w:tr>
      <w:tr w:rsidR="002775AB" w:rsidRPr="002775AB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514148" w:rsidRDefault="002775AB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130B2B2B" w:rsidR="002775AB" w:rsidRPr="00514148" w:rsidRDefault="00C93472" w:rsidP="00D533DB">
            <w:pPr>
              <w:pStyle w:val="NoSpacing"/>
              <w:rPr>
                <w:rFonts w:ascii="Source Sans Pro" w:eastAsiaTheme="minorEastAsia" w:hAnsi="Source Sans Pro" w:cs="Calibri"/>
                <w:color w:val="000000"/>
                <w:lang w:eastAsia="ko-KR"/>
              </w:rPr>
            </w:pPr>
            <w:r w:rsidRPr="00C93472">
              <w:rPr>
                <w:rFonts w:ascii="Source Sans Pro" w:eastAsiaTheme="minorEastAsia" w:hAnsi="Source Sans Pro" w:cs="Calibri" w:hint="eastAsia"/>
                <w:color w:val="000000"/>
                <w:lang w:eastAsia="ko-KR"/>
              </w:rPr>
              <w:t>Marketing</w:t>
            </w:r>
          </w:p>
        </w:tc>
      </w:tr>
      <w:tr w:rsidR="002775AB" w:rsidRPr="002775AB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05ED9D9E" w:rsidR="002775AB" w:rsidRPr="00514148" w:rsidRDefault="002775AB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3DFB2F8E" w:rsidR="002775AB" w:rsidRPr="00514148" w:rsidRDefault="00F22867" w:rsidP="00D533DB">
            <w:pPr>
              <w:pStyle w:val="NoSpacing"/>
              <w:rPr>
                <w:rFonts w:ascii="Source Sans Pro" w:eastAsiaTheme="minorEastAsia" w:hAnsi="Source Sans Pro" w:cs="Calibri"/>
                <w:color w:val="000000"/>
                <w:lang w:eastAsia="ko-KR"/>
              </w:rPr>
            </w:pPr>
            <w:r w:rsidRPr="00514148">
              <w:rPr>
                <w:rFonts w:ascii="Source Sans Pro" w:eastAsia="宋体" w:hAnsi="Source Sans Pro" w:cs="Calibri"/>
                <w:color w:val="000000"/>
                <w:lang w:eastAsia="zh-CN"/>
              </w:rPr>
              <w:t>Shanghai</w:t>
            </w:r>
            <w:r w:rsidRPr="00514148">
              <w:rPr>
                <w:rFonts w:ascii="Source Sans Pro" w:eastAsiaTheme="minorEastAsia" w:hAnsi="Source Sans Pro" w:cs="Calibri"/>
                <w:color w:val="000000"/>
                <w:lang w:eastAsia="ko-KR"/>
              </w:rPr>
              <w:t>, China</w:t>
            </w:r>
          </w:p>
        </w:tc>
      </w:tr>
      <w:tr w:rsidR="002775AB" w:rsidRPr="002775AB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2744706F" w:rsidR="002775AB" w:rsidRPr="00514148" w:rsidRDefault="008B2E82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2775AB"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Leader</w:t>
            </w:r>
            <w:r w:rsidR="00293ED7"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 Role</w:t>
            </w:r>
          </w:p>
        </w:tc>
        <w:tc>
          <w:tcPr>
            <w:tcW w:w="6730" w:type="dxa"/>
            <w:shd w:val="clear" w:color="auto" w:fill="auto"/>
          </w:tcPr>
          <w:p w14:paraId="0E66B222" w14:textId="133281C5" w:rsidR="002775AB" w:rsidRPr="00484AF7" w:rsidRDefault="00484AF7" w:rsidP="00D533DB">
            <w:pPr>
              <w:pStyle w:val="NoSpacing"/>
              <w:rPr>
                <w:rFonts w:ascii="Source Sans Pro" w:eastAsia="宋体" w:hAnsi="Source Sans Pro" w:cs="Calibri"/>
                <w:color w:val="000000"/>
                <w:lang w:eastAsia="zh-CN"/>
              </w:rPr>
            </w:pPr>
            <w:r w:rsidRPr="00484AF7">
              <w:rPr>
                <w:rStyle w:val="normaltextrun"/>
                <w:rFonts w:ascii="Source Sans Pro" w:hAnsi="Source Sans Pro"/>
                <w:b/>
                <w:bCs/>
                <w:sz w:val="20"/>
                <w:szCs w:val="20"/>
                <w:bdr w:val="none" w:sz="0" w:space="0" w:color="auto" w:frame="1"/>
              </w:rPr>
              <w:t>Insight</w:t>
            </w:r>
            <w:r w:rsidRPr="00484AF7">
              <w:rPr>
                <w:rStyle w:val="normaltextrun"/>
                <w:rFonts w:hint="eastAsia"/>
                <w:b/>
                <w:bCs/>
                <w:sz w:val="20"/>
                <w:szCs w:val="20"/>
                <w:bdr w:val="none" w:sz="0" w:space="0" w:color="auto" w:frame="1"/>
              </w:rPr>
              <w:t xml:space="preserve"> Manager</w:t>
            </w:r>
          </w:p>
        </w:tc>
      </w:tr>
      <w:tr w:rsidR="002775AB" w:rsidRPr="002775AB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1B8A245F" w:rsidR="002775AB" w:rsidRPr="00514148" w:rsidRDefault="00293ED7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Role L</w:t>
            </w:r>
            <w:r w:rsidR="00AF463D"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evel</w:t>
            </w:r>
          </w:p>
        </w:tc>
        <w:tc>
          <w:tcPr>
            <w:tcW w:w="6730" w:type="dxa"/>
            <w:shd w:val="clear" w:color="auto" w:fill="auto"/>
          </w:tcPr>
          <w:p w14:paraId="2E9296AB" w14:textId="29EFB624" w:rsidR="002775AB" w:rsidRPr="00C93472" w:rsidRDefault="00C8523A" w:rsidP="00D533DB">
            <w:pPr>
              <w:pStyle w:val="NoSpacing"/>
              <w:rPr>
                <w:rFonts w:ascii="Source Sans Pro" w:eastAsia="宋体" w:hAnsi="Source Sans Pro" w:cs="Calibri"/>
                <w:color w:val="000000"/>
                <w:lang w:eastAsia="zh-CN"/>
              </w:rPr>
            </w:pPr>
            <w:r w:rsidRPr="00514148">
              <w:rPr>
                <w:rFonts w:ascii="Source Sans Pro" w:eastAsiaTheme="minorEastAsia" w:hAnsi="Source Sans Pro" w:cs="Calibri"/>
                <w:color w:val="000000"/>
                <w:lang w:eastAsia="ko-KR"/>
              </w:rPr>
              <w:t>4</w:t>
            </w:r>
            <w:r w:rsidR="00C93472" w:rsidRPr="00C93472">
              <w:rPr>
                <w:rFonts w:ascii="Source Sans Pro" w:eastAsiaTheme="minorEastAsia" w:hAnsi="Source Sans Pro" w:cs="Calibri" w:hint="eastAsia"/>
                <w:color w:val="000000"/>
                <w:lang w:eastAsia="ko-KR"/>
              </w:rPr>
              <w:t>B</w:t>
            </w:r>
          </w:p>
        </w:tc>
      </w:tr>
      <w:tr w:rsidR="002775AB" w:rsidRPr="002775AB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088460E6" w:rsidR="002775AB" w:rsidRPr="00514148" w:rsidRDefault="00293ED7" w:rsidP="00D533DB">
            <w:pPr>
              <w:pStyle w:val="NoSpacing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C317CC" w:rsidRPr="0051414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6730" w:type="dxa"/>
            <w:shd w:val="clear" w:color="auto" w:fill="auto"/>
          </w:tcPr>
          <w:p w14:paraId="4B8C09FE" w14:textId="24BDF6F9" w:rsidR="002775AB" w:rsidRPr="00514148" w:rsidRDefault="00CB1F62" w:rsidP="00D533DB">
            <w:pPr>
              <w:pStyle w:val="NoSpacing"/>
              <w:rPr>
                <w:rFonts w:ascii="Source Sans Pro" w:hAnsi="Source Sans Pro" w:cs="Calibri"/>
                <w:color w:val="000000"/>
              </w:rPr>
            </w:pPr>
            <w:r w:rsidRPr="00514148">
              <w:rPr>
                <w:rFonts w:ascii="Source Sans Pro" w:hAnsi="Source Sans Pro" w:cs="Calibri"/>
                <w:color w:val="000000"/>
              </w:rPr>
              <w:t>No</w:t>
            </w:r>
          </w:p>
        </w:tc>
      </w:tr>
      <w:tr w:rsidR="002775AB" w:rsidRPr="002775AB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514148" w:rsidRDefault="002775AB" w:rsidP="00D533DB">
            <w:pPr>
              <w:pStyle w:val="NoSpacing"/>
              <w:rPr>
                <w:rFonts w:ascii="Source Sans Pro" w:hAnsi="Source Sans Pro" w:cs="Calibri"/>
                <w:b/>
                <w:bCs/>
              </w:rPr>
            </w:pPr>
            <w:r w:rsidRPr="00514148">
              <w:rPr>
                <w:rFonts w:ascii="Source Sans Pro" w:hAnsi="Source Sans Pro" w:cs="Calibri"/>
                <w:b/>
                <w:bCs/>
              </w:rPr>
              <w:t xml:space="preserve">Role Purpose </w:t>
            </w:r>
          </w:p>
          <w:p w14:paraId="3D28D37D" w14:textId="77777777" w:rsidR="00AF6943" w:rsidRPr="00514148" w:rsidRDefault="00AF6943" w:rsidP="008D1089">
            <w:pPr>
              <w:pStyle w:val="NoSpacing"/>
              <w:rPr>
                <w:rFonts w:ascii="Source Sans Pro" w:hAnsi="Source Sans Pro" w:cs="Calibri"/>
              </w:rPr>
            </w:pPr>
          </w:p>
          <w:p w14:paraId="0FA49897" w14:textId="23403329" w:rsidR="00397D66" w:rsidRDefault="003E353E" w:rsidP="00724199">
            <w:pPr>
              <w:pStyle w:val="NoSpacing"/>
              <w:rPr>
                <w:rFonts w:eastAsia="宋体" w:cs="Calibri"/>
                <w:lang w:eastAsia="zh-CN"/>
              </w:rPr>
            </w:pPr>
            <w:r w:rsidRPr="003E353E">
              <w:rPr>
                <w:rFonts w:cs="Calibri"/>
              </w:rPr>
              <w:t xml:space="preserve">This role supports the local market in executing the Insights agenda. It is responsible for </w:t>
            </w:r>
            <w:r w:rsidR="008D2C31">
              <w:rPr>
                <w:rFonts w:cs="Calibri"/>
              </w:rPr>
              <w:t xml:space="preserve">conducting </w:t>
            </w:r>
            <w:r w:rsidR="00C44D60">
              <w:rPr>
                <w:rFonts w:cs="Calibri"/>
              </w:rPr>
              <w:t>research</w:t>
            </w:r>
            <w:r w:rsidR="008D2C31">
              <w:rPr>
                <w:rFonts w:cs="Calibri"/>
              </w:rPr>
              <w:t xml:space="preserve"> and market analysis </w:t>
            </w:r>
            <w:r w:rsidR="00AA3BC5">
              <w:rPr>
                <w:rFonts w:cs="Calibri"/>
              </w:rPr>
              <w:t xml:space="preserve">to </w:t>
            </w:r>
            <w:r w:rsidR="00E80032">
              <w:rPr>
                <w:rFonts w:ascii="宋体" w:eastAsia="宋体" w:hAnsi="宋体" w:cs="Calibri" w:hint="eastAsia"/>
                <w:lang w:eastAsia="zh-CN"/>
              </w:rPr>
              <w:t>d</w:t>
            </w:r>
            <w:r w:rsidR="00E80032">
              <w:rPr>
                <w:rFonts w:cs="Calibri"/>
                <w:lang w:eastAsia="zh-CN"/>
              </w:rPr>
              <w:t>riv</w:t>
            </w:r>
            <w:r w:rsidR="00AA3BC5">
              <w:rPr>
                <w:rFonts w:cs="Calibri"/>
                <w:lang w:eastAsia="zh-CN"/>
              </w:rPr>
              <w:t>e</w:t>
            </w:r>
            <w:r w:rsidR="00E80032">
              <w:rPr>
                <w:rFonts w:cs="Calibri"/>
                <w:lang w:eastAsia="zh-CN"/>
              </w:rPr>
              <w:t xml:space="preserve"> insights for business decisions and strategies</w:t>
            </w:r>
            <w:r w:rsidR="00AA3BC5">
              <w:rPr>
                <w:rFonts w:cs="Calibri"/>
                <w:lang w:eastAsia="zh-CN"/>
              </w:rPr>
              <w:t>.</w:t>
            </w:r>
            <w:r w:rsidRPr="003E353E">
              <w:rPr>
                <w:rFonts w:cs="Calibri"/>
              </w:rPr>
              <w:t xml:space="preserve"> The role will work closely to build strong partnerships with Marketing and Commercial Teams to enable adoption of brand strategies and assets, whilst operating as an ambassador for the Insights &amp; Analytics function across the business. </w:t>
            </w:r>
          </w:p>
          <w:p w14:paraId="4B380219" w14:textId="2A1DCF2B" w:rsidR="003E353E" w:rsidRPr="003E353E" w:rsidRDefault="003E353E" w:rsidP="00724199">
            <w:pPr>
              <w:pStyle w:val="NoSpacing"/>
              <w:rPr>
                <w:rFonts w:ascii="Source Sans Pro" w:eastAsia="宋体" w:hAnsi="Source Sans Pro" w:cs="Calibri"/>
                <w:b/>
                <w:bCs/>
                <w:lang w:eastAsia="zh-CN"/>
              </w:rPr>
            </w:pPr>
          </w:p>
        </w:tc>
      </w:tr>
      <w:tr w:rsidR="002775AB" w:rsidRPr="00397D66" w14:paraId="4A8A80D4" w14:textId="77777777" w:rsidTr="00B0710C">
        <w:trPr>
          <w:trHeight w:val="1544"/>
        </w:trPr>
        <w:tc>
          <w:tcPr>
            <w:tcW w:w="9702" w:type="dxa"/>
            <w:gridSpan w:val="2"/>
            <w:shd w:val="clear" w:color="auto" w:fill="auto"/>
          </w:tcPr>
          <w:p w14:paraId="36AE347C" w14:textId="77777777" w:rsidR="00C93472" w:rsidRPr="00C93472" w:rsidRDefault="00C93472" w:rsidP="00C93472">
            <w:pPr>
              <w:pStyle w:val="paragraph"/>
              <w:spacing w:before="0" w:beforeAutospacing="0" w:after="0" w:afterAutospacing="0"/>
              <w:textAlignment w:val="baseline"/>
              <w:rPr>
                <w:rFonts w:ascii="Source Sans Pro" w:eastAsia="Calibri" w:hAnsi="Source Sans Pro" w:cs="Calibri"/>
                <w:b/>
                <w:bCs/>
                <w:sz w:val="22"/>
                <w:szCs w:val="22"/>
                <w:lang w:val="en-GB" w:eastAsia="en-US"/>
              </w:rPr>
            </w:pPr>
            <w:r w:rsidRPr="00C93472">
              <w:rPr>
                <w:rFonts w:ascii="Source Sans Pro" w:eastAsia="Calibri" w:hAnsi="Source Sans Pro" w:cs="Calibri"/>
                <w:b/>
                <w:bCs/>
                <w:sz w:val="22"/>
                <w:szCs w:val="22"/>
                <w:lang w:val="en-GB" w:eastAsia="en-US"/>
              </w:rPr>
              <w:t>Accountabilities </w:t>
            </w:r>
          </w:p>
          <w:p w14:paraId="54203D02" w14:textId="7339B148" w:rsidR="00C93472" w:rsidRDefault="00F96441" w:rsidP="00C9347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Lead market performance tracking and competitor intelligence </w:t>
            </w:r>
            <w:r w:rsidR="00CF482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monitoring</w:t>
            </w:r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, to identify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i&amp;o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through solid data analysis and translate data-driven insights into actional execution </w:t>
            </w:r>
            <w:r w:rsidR="007A64A4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plan.</w:t>
            </w:r>
          </w:p>
          <w:p w14:paraId="5158498A" w14:textId="1F7D04DE" w:rsidR="00BB2902" w:rsidRPr="009042B7" w:rsidRDefault="00BB2902" w:rsidP="00C9347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GB"/>
              </w:rPr>
              <w:t>F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ollow closely on category trend, market dynamics and competitive landscape to proactively fuel the business with abundant trend and </w:t>
            </w:r>
            <w:r w:rsidR="007A64A4">
              <w:rPr>
                <w:rFonts w:ascii="Calibri" w:hAnsi="Calibri" w:cs="Calibri"/>
                <w:sz w:val="22"/>
                <w:szCs w:val="22"/>
                <w:lang w:val="en-GB"/>
              </w:rPr>
              <w:t>insights.</w:t>
            </w:r>
          </w:p>
          <w:p w14:paraId="5A7B6C41" w14:textId="6DACD77D" w:rsidR="009042B7" w:rsidRPr="00E37587" w:rsidRDefault="009042B7" w:rsidP="00C9347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F5F1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Support the leveraging of 1st, </w:t>
            </w:r>
            <w:proofErr w:type="gramStart"/>
            <w:r w:rsidRPr="000F5F1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2nd</w:t>
            </w:r>
            <w:proofErr w:type="gramEnd"/>
            <w:r w:rsidRPr="000F5F1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and 3rd party data to unlock insights including eCommerce back-end data analysis as well as digital media efficiency through working with key agency partners.  </w:t>
            </w:r>
          </w:p>
          <w:p w14:paraId="73D145E6" w14:textId="5BA2F722" w:rsidR="00C93472" w:rsidRDefault="00C93472" w:rsidP="00C9347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93472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Support Insights Manager </w:t>
            </w:r>
            <w:r w:rsidR="00C142A1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on </w:t>
            </w:r>
            <w:r w:rsidR="00183BAD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the assignments </w:t>
            </w:r>
            <w:r w:rsidRPr="00C93472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to </w:t>
            </w:r>
            <w:r w:rsidR="00230BE5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ensure the</w:t>
            </w:r>
            <w:r w:rsidR="00C142A1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good execution </w:t>
            </w:r>
            <w:r w:rsidR="00A9527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and timely delivery</w:t>
            </w:r>
            <w:r w:rsidR="00D3034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.</w:t>
            </w:r>
            <w:r w:rsidR="00A9527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</w:t>
            </w:r>
          </w:p>
          <w:p w14:paraId="5C364948" w14:textId="77777777" w:rsidR="00C44D60" w:rsidRPr="00C93472" w:rsidRDefault="00C44D60" w:rsidP="00C44D6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93472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M&amp;E champion - build a strong partnership with brand &amp; commercial team(s) that ensures all insights and learnings are objectively presented and funnelled into decisions, plans and toolkits in a way that champions the voice of the consumer</w:t>
            </w:r>
            <w:r>
              <w:rPr>
                <w:rFonts w:ascii="Calibri" w:hAnsi="Calibri" w:cs="Calibri" w:hint="eastAsia"/>
                <w:sz w:val="22"/>
                <w:szCs w:val="22"/>
                <w:lang w:val="en-GB"/>
              </w:rPr>
              <w:t>.</w:t>
            </w:r>
          </w:p>
          <w:p w14:paraId="29A62E8B" w14:textId="77777777" w:rsidR="00C44D60" w:rsidRPr="00DF4336" w:rsidRDefault="00C44D60" w:rsidP="00C44D6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DF433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Local champion of BHT and other global insights initiatives</w:t>
            </w:r>
          </w:p>
          <w:p w14:paraId="65B6211C" w14:textId="77777777" w:rsidR="00495AB0" w:rsidRPr="00002F2D" w:rsidRDefault="00495AB0" w:rsidP="00495AB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GB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anage research agencies to deliver insightful and sharp research reports and deliverables.</w:t>
            </w:r>
          </w:p>
          <w:p w14:paraId="6FD19EC6" w14:textId="4651C670" w:rsidR="008F4C06" w:rsidRPr="00C93472" w:rsidRDefault="008F4C06" w:rsidP="008F4C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xplore new/emerging research methodologies and tools for the agile research.</w:t>
            </w:r>
          </w:p>
          <w:p w14:paraId="1484ED26" w14:textId="7EA601B4" w:rsidR="00E43402" w:rsidRPr="00C93472" w:rsidRDefault="00DF4336" w:rsidP="00C44D6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eam A&amp;P budget management and PO/contract follow-up</w:t>
            </w:r>
            <w:r w:rsidR="00954D9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</w:tr>
    </w:tbl>
    <w:p w14:paraId="672A15C7" w14:textId="77777777" w:rsidR="002775AB" w:rsidRPr="00FF41C7" w:rsidRDefault="002775AB">
      <w:pPr>
        <w:rPr>
          <w:sz w:val="20"/>
          <w:szCs w:val="20"/>
        </w:rPr>
      </w:pPr>
    </w:p>
    <w:sectPr w:rsidR="002775AB" w:rsidRPr="00FF41C7" w:rsidSect="000E2D2A">
      <w:head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31138" w14:textId="77777777" w:rsidR="00447B4C" w:rsidRDefault="00447B4C" w:rsidP="009A5E9F">
      <w:pPr>
        <w:spacing w:after="0" w:line="240" w:lineRule="auto"/>
      </w:pPr>
      <w:r>
        <w:separator/>
      </w:r>
    </w:p>
  </w:endnote>
  <w:endnote w:type="continuationSeparator" w:id="0">
    <w:p w14:paraId="76ACB7CB" w14:textId="77777777" w:rsidR="00447B4C" w:rsidRDefault="00447B4C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G&amp;S Headli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66BB4" w14:textId="77777777" w:rsidR="00447B4C" w:rsidRDefault="00447B4C" w:rsidP="009A5E9F">
      <w:pPr>
        <w:spacing w:after="0" w:line="240" w:lineRule="auto"/>
      </w:pPr>
      <w:r>
        <w:separator/>
      </w:r>
    </w:p>
  </w:footnote>
  <w:footnote w:type="continuationSeparator" w:id="0">
    <w:p w14:paraId="4590FD1F" w14:textId="77777777" w:rsidR="00447B4C" w:rsidRDefault="00447B4C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6F1C6" w14:textId="2530105D" w:rsidR="00F367C5" w:rsidRDefault="00F367C5" w:rsidP="00F367C5">
    <w:pPr>
      <w:pStyle w:val="Header"/>
      <w:jc w:val="center"/>
    </w:pPr>
    <w:r>
      <w:rPr>
        <w:noProof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993"/>
    <w:multiLevelType w:val="hybridMultilevel"/>
    <w:tmpl w:val="C6A65828"/>
    <w:lvl w:ilvl="0" w:tplc="63ECBA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7E0"/>
    <w:multiLevelType w:val="hybridMultilevel"/>
    <w:tmpl w:val="853A7012"/>
    <w:lvl w:ilvl="0" w:tplc="6B6C6F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E90"/>
    <w:multiLevelType w:val="hybridMultilevel"/>
    <w:tmpl w:val="91CE0330"/>
    <w:lvl w:ilvl="0" w:tplc="7D6AAA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312"/>
    <w:multiLevelType w:val="hybridMultilevel"/>
    <w:tmpl w:val="4DF2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780"/>
    <w:multiLevelType w:val="multilevel"/>
    <w:tmpl w:val="ABC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F2A84"/>
    <w:multiLevelType w:val="multilevel"/>
    <w:tmpl w:val="ABC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81639"/>
    <w:multiLevelType w:val="hybridMultilevel"/>
    <w:tmpl w:val="FC98E9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741E"/>
    <w:multiLevelType w:val="multilevel"/>
    <w:tmpl w:val="ABC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44172">
    <w:abstractNumId w:val="8"/>
  </w:num>
  <w:num w:numId="2" w16cid:durableId="316303115">
    <w:abstractNumId w:val="3"/>
  </w:num>
  <w:num w:numId="3" w16cid:durableId="1457218873">
    <w:abstractNumId w:val="6"/>
  </w:num>
  <w:num w:numId="4" w16cid:durableId="604072191">
    <w:abstractNumId w:val="2"/>
  </w:num>
  <w:num w:numId="5" w16cid:durableId="11152928">
    <w:abstractNumId w:val="1"/>
  </w:num>
  <w:num w:numId="6" w16cid:durableId="1375889628">
    <w:abstractNumId w:val="0"/>
  </w:num>
  <w:num w:numId="7" w16cid:durableId="186872995">
    <w:abstractNumId w:val="5"/>
  </w:num>
  <w:num w:numId="8" w16cid:durableId="1923681973">
    <w:abstractNumId w:val="7"/>
  </w:num>
  <w:num w:numId="9" w16cid:durableId="1662809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02F2D"/>
    <w:rsid w:val="00004E21"/>
    <w:rsid w:val="000318E3"/>
    <w:rsid w:val="00046EA8"/>
    <w:rsid w:val="00056283"/>
    <w:rsid w:val="0006185D"/>
    <w:rsid w:val="000A6AB0"/>
    <w:rsid w:val="000B214C"/>
    <w:rsid w:val="000E0B3D"/>
    <w:rsid w:val="000E2D2A"/>
    <w:rsid w:val="000E7158"/>
    <w:rsid w:val="000F16D5"/>
    <w:rsid w:val="000F5F16"/>
    <w:rsid w:val="00104B8E"/>
    <w:rsid w:val="00112FA9"/>
    <w:rsid w:val="00115BC5"/>
    <w:rsid w:val="00127826"/>
    <w:rsid w:val="00144D1E"/>
    <w:rsid w:val="00160730"/>
    <w:rsid w:val="00166821"/>
    <w:rsid w:val="00183BAD"/>
    <w:rsid w:val="00184196"/>
    <w:rsid w:val="001A665E"/>
    <w:rsid w:val="001F41EE"/>
    <w:rsid w:val="00201C41"/>
    <w:rsid w:val="00230BE5"/>
    <w:rsid w:val="002368B8"/>
    <w:rsid w:val="00276B0A"/>
    <w:rsid w:val="002775AB"/>
    <w:rsid w:val="00280CFC"/>
    <w:rsid w:val="0028632C"/>
    <w:rsid w:val="00293ED7"/>
    <w:rsid w:val="002C55D4"/>
    <w:rsid w:val="00364281"/>
    <w:rsid w:val="00393247"/>
    <w:rsid w:val="00397D66"/>
    <w:rsid w:val="003B5C23"/>
    <w:rsid w:val="003E353E"/>
    <w:rsid w:val="003F0A71"/>
    <w:rsid w:val="00402441"/>
    <w:rsid w:val="004063C8"/>
    <w:rsid w:val="00435F69"/>
    <w:rsid w:val="00447B4C"/>
    <w:rsid w:val="00484AF7"/>
    <w:rsid w:val="00487946"/>
    <w:rsid w:val="00495AB0"/>
    <w:rsid w:val="004A2E53"/>
    <w:rsid w:val="004C6034"/>
    <w:rsid w:val="00505BF5"/>
    <w:rsid w:val="00507ED0"/>
    <w:rsid w:val="00514148"/>
    <w:rsid w:val="005447AB"/>
    <w:rsid w:val="0056004D"/>
    <w:rsid w:val="00563DB4"/>
    <w:rsid w:val="005D36D7"/>
    <w:rsid w:val="0061328E"/>
    <w:rsid w:val="0062550B"/>
    <w:rsid w:val="00643471"/>
    <w:rsid w:val="00645F29"/>
    <w:rsid w:val="00650B4A"/>
    <w:rsid w:val="006C4152"/>
    <w:rsid w:val="00724199"/>
    <w:rsid w:val="0074033B"/>
    <w:rsid w:val="007517B1"/>
    <w:rsid w:val="007A27AC"/>
    <w:rsid w:val="007A54A1"/>
    <w:rsid w:val="007A5916"/>
    <w:rsid w:val="007A64A4"/>
    <w:rsid w:val="007E0917"/>
    <w:rsid w:val="007F16BA"/>
    <w:rsid w:val="00815BE4"/>
    <w:rsid w:val="00872B53"/>
    <w:rsid w:val="0089426D"/>
    <w:rsid w:val="008A6DBC"/>
    <w:rsid w:val="008B2E82"/>
    <w:rsid w:val="008C0BEB"/>
    <w:rsid w:val="008C1DF2"/>
    <w:rsid w:val="008D1089"/>
    <w:rsid w:val="008D2894"/>
    <w:rsid w:val="008D2C31"/>
    <w:rsid w:val="008D65A4"/>
    <w:rsid w:val="008E0918"/>
    <w:rsid w:val="008F4C06"/>
    <w:rsid w:val="008F72B2"/>
    <w:rsid w:val="009042B7"/>
    <w:rsid w:val="00954D94"/>
    <w:rsid w:val="00977301"/>
    <w:rsid w:val="00994FF0"/>
    <w:rsid w:val="009A5E9F"/>
    <w:rsid w:val="009B47AA"/>
    <w:rsid w:val="009C07A6"/>
    <w:rsid w:val="00A8607F"/>
    <w:rsid w:val="00A95276"/>
    <w:rsid w:val="00AA3BC5"/>
    <w:rsid w:val="00AC462E"/>
    <w:rsid w:val="00AF463D"/>
    <w:rsid w:val="00AF6943"/>
    <w:rsid w:val="00B0710C"/>
    <w:rsid w:val="00B264BE"/>
    <w:rsid w:val="00B541BB"/>
    <w:rsid w:val="00BB2902"/>
    <w:rsid w:val="00BE16A8"/>
    <w:rsid w:val="00C142A1"/>
    <w:rsid w:val="00C22335"/>
    <w:rsid w:val="00C317CC"/>
    <w:rsid w:val="00C44D60"/>
    <w:rsid w:val="00C5601F"/>
    <w:rsid w:val="00C763B1"/>
    <w:rsid w:val="00C8523A"/>
    <w:rsid w:val="00C93472"/>
    <w:rsid w:val="00CB1F62"/>
    <w:rsid w:val="00CB6469"/>
    <w:rsid w:val="00CC6BFD"/>
    <w:rsid w:val="00CE04AF"/>
    <w:rsid w:val="00CE377E"/>
    <w:rsid w:val="00CF176E"/>
    <w:rsid w:val="00CF4828"/>
    <w:rsid w:val="00D02BA3"/>
    <w:rsid w:val="00D16375"/>
    <w:rsid w:val="00D30340"/>
    <w:rsid w:val="00D64D95"/>
    <w:rsid w:val="00DC6A19"/>
    <w:rsid w:val="00DF4336"/>
    <w:rsid w:val="00E0307B"/>
    <w:rsid w:val="00E33F43"/>
    <w:rsid w:val="00E37587"/>
    <w:rsid w:val="00E41B12"/>
    <w:rsid w:val="00E43402"/>
    <w:rsid w:val="00E80032"/>
    <w:rsid w:val="00F1691E"/>
    <w:rsid w:val="00F22867"/>
    <w:rsid w:val="00F32A11"/>
    <w:rsid w:val="00F367C5"/>
    <w:rsid w:val="00F3761A"/>
    <w:rsid w:val="00F62101"/>
    <w:rsid w:val="00F96441"/>
    <w:rsid w:val="00FC11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505BF5"/>
    <w:rPr>
      <w:color w:val="808080"/>
    </w:rPr>
  </w:style>
  <w:style w:type="paragraph" w:styleId="ListParagraph">
    <w:name w:val="List Paragraph"/>
    <w:basedOn w:val="Normal"/>
    <w:uiPriority w:val="34"/>
    <w:qFormat/>
    <w:rsid w:val="007A27AC"/>
    <w:pPr>
      <w:spacing w:after="0" w:line="259" w:lineRule="auto"/>
      <w:ind w:left="720"/>
      <w:contextualSpacing/>
    </w:pPr>
    <w:rPr>
      <w:rFonts w:eastAsiaTheme="minorEastAsia" w:cs="Times New Roman"/>
      <w:sz w:val="22"/>
      <w:szCs w:val="20"/>
      <w:lang w:eastAsia="en-US"/>
    </w:rPr>
  </w:style>
  <w:style w:type="character" w:customStyle="1" w:styleId="normaltextrun">
    <w:name w:val="normaltextrun"/>
    <w:basedOn w:val="DefaultParagraphFont"/>
    <w:rsid w:val="00397D66"/>
  </w:style>
  <w:style w:type="paragraph" w:customStyle="1" w:styleId="paragraph">
    <w:name w:val="paragraph"/>
    <w:basedOn w:val="Normal"/>
    <w:rsid w:val="00397D66"/>
    <w:pPr>
      <w:spacing w:before="100" w:beforeAutospacing="1" w:after="100" w:afterAutospacing="1" w:line="240" w:lineRule="auto"/>
    </w:pPr>
    <w:rPr>
      <w:rFonts w:ascii="宋体" w:eastAsia="宋体" w:hAnsi="宋体" w:cs="宋体"/>
      <w:lang w:val="en-US" w:eastAsia="zh-CN"/>
    </w:rPr>
  </w:style>
  <w:style w:type="character" w:customStyle="1" w:styleId="eop">
    <w:name w:val="eop"/>
    <w:basedOn w:val="DefaultParagraphFont"/>
    <w:rsid w:val="0039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f292bc-86f4-4afe-8af5-a5103d99f0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D2F02E278B44B2325351F0C8FDA5" ma:contentTypeVersion="10" ma:contentTypeDescription="Create a new document." ma:contentTypeScope="" ma:versionID="984979b702232309d661eaf2e2efdf67">
  <xsd:schema xmlns:xsd="http://www.w3.org/2001/XMLSchema" xmlns:xs="http://www.w3.org/2001/XMLSchema" xmlns:p="http://schemas.microsoft.com/office/2006/metadata/properties" xmlns:ns3="e5f292bc-86f4-4afe-8af5-a5103d99f0a7" xmlns:ns4="ed3ffe92-fc05-4e10-b9ec-691a159a87f6" targetNamespace="http://schemas.microsoft.com/office/2006/metadata/properties" ma:root="true" ma:fieldsID="5ee31c01a04eee299d961dd2bc81480e" ns3:_="" ns4:_="">
    <xsd:import namespace="e5f292bc-86f4-4afe-8af5-a5103d99f0a7"/>
    <xsd:import namespace="ed3ffe92-fc05-4e10-b9ec-691a159a8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92bc-86f4-4afe-8af5-a5103d99f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ffe92-fc05-4e10-b9ec-691a159a8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46C7F-9BB4-43BB-A0CB-9D66A3C5A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4240F-FCCD-4E84-AA94-32AFA87FDE61}">
  <ds:schemaRefs>
    <ds:schemaRef ds:uri="http://schemas.microsoft.com/office/2006/metadata/properties"/>
    <ds:schemaRef ds:uri="http://schemas.microsoft.com/office/infopath/2007/PartnerControls"/>
    <ds:schemaRef ds:uri="e5f292bc-86f4-4afe-8af5-a5103d99f0a7"/>
  </ds:schemaRefs>
</ds:datastoreItem>
</file>

<file path=customXml/itemProps3.xml><?xml version="1.0" encoding="utf-8"?>
<ds:datastoreItem xmlns:ds="http://schemas.openxmlformats.org/officeDocument/2006/customXml" ds:itemID="{128B4BF6-3648-4F58-861B-340834B6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92bc-86f4-4afe-8af5-a5103d99f0a7"/>
    <ds:schemaRef ds:uri="ed3ffe92-fc05-4e10-b9ec-691a159a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Elaine Ding</cp:lastModifiedBy>
  <cp:revision>3</cp:revision>
  <cp:lastPrinted>2024-06-19T07:11:00Z</cp:lastPrinted>
  <dcterms:created xsi:type="dcterms:W3CDTF">2024-06-13T07:38:00Z</dcterms:created>
  <dcterms:modified xsi:type="dcterms:W3CDTF">2024-06-19T07:12:00Z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0x010100BFB5D2F02E278B44B2325351F0C8FDA5</vt:lpwstr>
  </property>
</Properties>
</file>